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0B3155" w14:textId="5EC049B3" w:rsidR="00F96404" w:rsidRPr="006E65A1" w:rsidRDefault="00F96404" w:rsidP="00F96404">
      <w:pPr>
        <w:pStyle w:val="Header"/>
        <w:tabs>
          <w:tab w:val="left" w:pos="2410"/>
        </w:tabs>
        <w:rPr>
          <w:noProof w:val="0"/>
          <w:sz w:val="24"/>
          <w:szCs w:val="24"/>
          <w:lang w:val="en-US"/>
        </w:rPr>
      </w:pPr>
      <w:r w:rsidRPr="006E65A1">
        <w:rPr>
          <w:noProof w:val="0"/>
          <w:sz w:val="24"/>
          <w:szCs w:val="24"/>
          <w:lang w:val="en-US"/>
        </w:rPr>
        <w:t>3GPP TSG-WG3 Meeting #10</w:t>
      </w:r>
      <w:r>
        <w:rPr>
          <w:noProof w:val="0"/>
          <w:sz w:val="24"/>
          <w:szCs w:val="24"/>
          <w:lang w:val="en-US"/>
        </w:rPr>
        <w:t>5</w:t>
      </w:r>
      <w:r>
        <w:rPr>
          <w:noProof w:val="0"/>
          <w:sz w:val="24"/>
          <w:szCs w:val="24"/>
          <w:lang w:val="en-US"/>
        </w:rPr>
        <w:tab/>
      </w:r>
      <w:r>
        <w:rPr>
          <w:noProof w:val="0"/>
          <w:sz w:val="24"/>
          <w:szCs w:val="24"/>
          <w:lang w:val="en-US"/>
        </w:rPr>
        <w:tab/>
      </w:r>
      <w:r w:rsidRPr="006E65A1">
        <w:rPr>
          <w:noProof w:val="0"/>
          <w:sz w:val="24"/>
          <w:szCs w:val="24"/>
          <w:lang w:val="en-US"/>
        </w:rPr>
        <w:tab/>
      </w:r>
      <w:r>
        <w:rPr>
          <w:noProof w:val="0"/>
          <w:sz w:val="24"/>
          <w:szCs w:val="24"/>
          <w:lang w:val="en-US"/>
        </w:rPr>
        <w:tab/>
      </w:r>
      <w:r>
        <w:rPr>
          <w:noProof w:val="0"/>
          <w:sz w:val="24"/>
          <w:szCs w:val="24"/>
          <w:lang w:val="en-US"/>
        </w:rPr>
        <w:tab/>
      </w:r>
      <w:r>
        <w:rPr>
          <w:noProof w:val="0"/>
          <w:sz w:val="24"/>
          <w:szCs w:val="24"/>
          <w:lang w:val="en-US"/>
        </w:rPr>
        <w:tab/>
      </w:r>
      <w:r>
        <w:rPr>
          <w:noProof w:val="0"/>
          <w:sz w:val="24"/>
          <w:szCs w:val="24"/>
          <w:lang w:val="en-US"/>
        </w:rPr>
        <w:tab/>
      </w:r>
      <w:r w:rsidR="000965EC">
        <w:rPr>
          <w:noProof w:val="0"/>
          <w:sz w:val="24"/>
          <w:szCs w:val="24"/>
          <w:lang w:val="en-US"/>
        </w:rPr>
        <w:tab/>
      </w:r>
      <w:r w:rsidR="000965EC">
        <w:rPr>
          <w:noProof w:val="0"/>
          <w:sz w:val="24"/>
          <w:szCs w:val="24"/>
          <w:lang w:val="en-US"/>
        </w:rPr>
        <w:tab/>
      </w:r>
      <w:r w:rsidR="000965EC">
        <w:rPr>
          <w:noProof w:val="0"/>
          <w:sz w:val="24"/>
          <w:szCs w:val="24"/>
          <w:lang w:val="en-US"/>
        </w:rPr>
        <w:tab/>
      </w:r>
      <w:r w:rsidR="000965EC">
        <w:rPr>
          <w:noProof w:val="0"/>
          <w:sz w:val="24"/>
          <w:szCs w:val="24"/>
          <w:lang w:val="en-US"/>
        </w:rPr>
        <w:tab/>
      </w:r>
      <w:r w:rsidR="000965EC">
        <w:rPr>
          <w:noProof w:val="0"/>
          <w:sz w:val="24"/>
          <w:szCs w:val="24"/>
          <w:lang w:val="en-US"/>
        </w:rPr>
        <w:tab/>
      </w:r>
      <w:r w:rsidR="000965EC">
        <w:rPr>
          <w:noProof w:val="0"/>
          <w:sz w:val="24"/>
          <w:szCs w:val="24"/>
          <w:lang w:val="en-US"/>
        </w:rPr>
        <w:tab/>
      </w:r>
      <w:r w:rsidR="000965EC">
        <w:rPr>
          <w:noProof w:val="0"/>
          <w:sz w:val="24"/>
          <w:szCs w:val="24"/>
          <w:lang w:val="en-US"/>
        </w:rPr>
        <w:tab/>
      </w:r>
      <w:r w:rsidR="000965EC">
        <w:rPr>
          <w:noProof w:val="0"/>
          <w:sz w:val="24"/>
          <w:szCs w:val="24"/>
          <w:lang w:val="en-US"/>
        </w:rPr>
        <w:tab/>
      </w:r>
      <w:r w:rsidR="000965EC">
        <w:rPr>
          <w:noProof w:val="0"/>
          <w:sz w:val="24"/>
          <w:szCs w:val="24"/>
          <w:lang w:val="en-US"/>
        </w:rPr>
        <w:tab/>
      </w:r>
      <w:r w:rsidR="000965EC">
        <w:rPr>
          <w:noProof w:val="0"/>
          <w:sz w:val="24"/>
          <w:szCs w:val="24"/>
          <w:lang w:val="en-US"/>
        </w:rPr>
        <w:tab/>
      </w:r>
      <w:r w:rsidR="000965EC">
        <w:rPr>
          <w:noProof w:val="0"/>
          <w:sz w:val="24"/>
          <w:szCs w:val="24"/>
          <w:lang w:val="en-US"/>
        </w:rPr>
        <w:tab/>
      </w:r>
      <w:r w:rsidRPr="005579C5">
        <w:rPr>
          <w:noProof w:val="0"/>
          <w:sz w:val="24"/>
          <w:szCs w:val="24"/>
          <w:lang w:val="en-US"/>
        </w:rPr>
        <w:t>R3-</w:t>
      </w:r>
      <w:r w:rsidR="00CC44F4" w:rsidRPr="00CC44F4">
        <w:rPr>
          <w:noProof w:val="0"/>
          <w:sz w:val="24"/>
          <w:szCs w:val="24"/>
          <w:lang w:val="en-US"/>
        </w:rPr>
        <w:t>193954</w:t>
      </w:r>
    </w:p>
    <w:p w14:paraId="32707DCB" w14:textId="77777777" w:rsidR="00F96404" w:rsidRPr="00676AE9" w:rsidRDefault="00F96404" w:rsidP="00F96404">
      <w:pPr>
        <w:pStyle w:val="Header"/>
        <w:tabs>
          <w:tab w:val="left" w:pos="2410"/>
        </w:tabs>
        <w:rPr>
          <w:noProof w:val="0"/>
          <w:sz w:val="24"/>
          <w:szCs w:val="24"/>
          <w:lang w:val="en-US"/>
        </w:rPr>
      </w:pPr>
      <w:r w:rsidRPr="005B3427">
        <w:rPr>
          <w:noProof w:val="0"/>
          <w:sz w:val="24"/>
          <w:szCs w:val="24"/>
          <w:lang w:val="en-US"/>
        </w:rPr>
        <w:t>Ljubljana, Slovenia</w:t>
      </w:r>
      <w:r>
        <w:rPr>
          <w:noProof w:val="0"/>
          <w:sz w:val="24"/>
          <w:szCs w:val="24"/>
          <w:lang w:val="en-US"/>
        </w:rPr>
        <w:t xml:space="preserve">, </w:t>
      </w:r>
      <w:r w:rsidRPr="005B3427">
        <w:rPr>
          <w:noProof w:val="0"/>
          <w:sz w:val="24"/>
          <w:szCs w:val="24"/>
          <w:lang w:val="en-US"/>
        </w:rPr>
        <w:t xml:space="preserve">26 - 30 Aug 2019   </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4DCA9FC9"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96404" w:rsidRPr="00F96404">
        <w:rPr>
          <w:rFonts w:cs="Arial"/>
          <w:b/>
          <w:bCs/>
          <w:sz w:val="24"/>
        </w:rPr>
        <w:t xml:space="preserve">13.2.1.2 </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14D7E442"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868A4">
        <w:rPr>
          <w:rFonts w:ascii="Arial" w:hAnsi="Arial" w:cs="Arial"/>
          <w:b/>
          <w:bCs/>
          <w:sz w:val="24"/>
        </w:rPr>
        <w:t>Next IAB hop id</w:t>
      </w:r>
      <w:r w:rsidR="00563F49">
        <w:rPr>
          <w:rFonts w:ascii="Arial" w:hAnsi="Arial" w:cs="Arial"/>
          <w:b/>
          <w:bCs/>
          <w:sz w:val="24"/>
        </w:rPr>
        <w:t>entification</w:t>
      </w:r>
      <w:r w:rsidR="00F96404">
        <w:rPr>
          <w:rFonts w:ascii="Arial" w:hAnsi="Arial" w:cs="Arial"/>
          <w:b/>
          <w:bCs/>
          <w:sz w:val="24"/>
        </w:rPr>
        <w:t xml:space="preserve"> and Forwarding table configuration</w:t>
      </w:r>
    </w:p>
    <w:p w14:paraId="3AC3A0B1" w14:textId="770AE50D"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04762F" w:rsidRPr="0004762F">
        <w:rPr>
          <w:rFonts w:ascii="Arial" w:hAnsi="Arial" w:cs="Arial"/>
          <w:b/>
          <w:bCs/>
          <w:sz w:val="24"/>
        </w:rPr>
        <w:t>NR_IAB-Core</w:t>
      </w:r>
      <w:r w:rsidR="00112F1A" w:rsidRPr="00112F1A">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w:t>
      </w:r>
      <w:r w:rsidR="0004762F">
        <w:rPr>
          <w:rFonts w:ascii="Arial" w:hAnsi="Arial" w:cs="Arial"/>
          <w:b/>
          <w:bCs/>
          <w:sz w:val="24"/>
        </w:rPr>
        <w:t>6</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382DD0A" w14:textId="77777777" w:rsidR="009D064C" w:rsidRPr="006E13D1" w:rsidRDefault="009D064C" w:rsidP="009D064C">
      <w:pPr>
        <w:pStyle w:val="Heading1"/>
      </w:pPr>
      <w:r w:rsidRPr="006E13D1">
        <w:t>1</w:t>
      </w:r>
      <w:r w:rsidRPr="006E13D1">
        <w:tab/>
      </w:r>
      <w:r>
        <w:t>Introduction</w:t>
      </w:r>
    </w:p>
    <w:p w14:paraId="600231DC" w14:textId="77777777" w:rsidR="00EF08BF" w:rsidRDefault="00EF08BF" w:rsidP="00EF08BF">
      <w:r>
        <w:t xml:space="preserve">During RAN2#106 meeting the following agreements with respect to routing using the adaptation layer (BAP) were made: </w:t>
      </w:r>
    </w:p>
    <w:tbl>
      <w:tblPr>
        <w:tblStyle w:val="TableGrid"/>
        <w:tblW w:w="0" w:type="auto"/>
        <w:tblLook w:val="04A0" w:firstRow="1" w:lastRow="0" w:firstColumn="1" w:lastColumn="0" w:noHBand="0" w:noVBand="1"/>
      </w:tblPr>
      <w:tblGrid>
        <w:gridCol w:w="9631"/>
      </w:tblGrid>
      <w:tr w:rsidR="00EF08BF" w14:paraId="07A81FFD" w14:textId="77777777" w:rsidTr="00DB282A">
        <w:tc>
          <w:tcPr>
            <w:tcW w:w="9631" w:type="dxa"/>
          </w:tcPr>
          <w:p w14:paraId="4F3FB0D1" w14:textId="77777777" w:rsidR="00EF08BF" w:rsidRPr="00F221A2" w:rsidRDefault="00EF08BF" w:rsidP="00DB282A">
            <w:pPr>
              <w:pStyle w:val="Agreement"/>
            </w:pPr>
            <w:r w:rsidRPr="00F221A2">
              <w:t xml:space="preserve">The BAP routing id </w:t>
            </w:r>
            <w:r>
              <w:t xml:space="preserve">(carried in the BAP header) </w:t>
            </w:r>
            <w:r w:rsidRPr="00F221A2">
              <w:t>consists of BAP address and BAP path ID. Encoding of the path ID in the header is FFS.</w:t>
            </w:r>
          </w:p>
          <w:p w14:paraId="596F3158" w14:textId="77777777" w:rsidR="00EF08BF" w:rsidRDefault="00EF08BF" w:rsidP="00DB282A">
            <w:pPr>
              <w:pStyle w:val="Agreement"/>
            </w:pPr>
            <w:r w:rsidRPr="00F221A2">
              <w:t>Each BAP address defines a unique destination</w:t>
            </w:r>
            <w:r>
              <w:t xml:space="preserve"> (unique for IAB network of one </w:t>
            </w:r>
            <w:proofErr w:type="gramStart"/>
            <w:r>
              <w:t>Donor ,</w:t>
            </w:r>
            <w:proofErr w:type="gramEnd"/>
            <w:r>
              <w:t xml:space="preserve"> either an IAB access node, or the IAB donor)</w:t>
            </w:r>
          </w:p>
          <w:p w14:paraId="19C4DAA2" w14:textId="77777777" w:rsidR="00EF08BF" w:rsidRDefault="00EF08BF" w:rsidP="00DB282A">
            <w:pPr>
              <w:pStyle w:val="Agreement"/>
            </w:pPr>
            <w:r w:rsidRPr="00F221A2">
              <w:t>Each BAP address can have one or multiple entries in the routing table to enable local route</w:t>
            </w:r>
            <w:r>
              <w:t xml:space="preserve"> selection. Multiple entries </w:t>
            </w:r>
            <w:proofErr w:type="gramStart"/>
            <w:r>
              <w:t>is</w:t>
            </w:r>
            <w:proofErr w:type="gramEnd"/>
            <w:r>
              <w:t xml:space="preserve"> for load balancing, re-routing at RLF. For load balancing still FFS what is decided locally and/or decided by the Donor.</w:t>
            </w:r>
          </w:p>
          <w:p w14:paraId="30042E47" w14:textId="77777777" w:rsidR="00EF08BF" w:rsidRDefault="00EF08BF" w:rsidP="00DB282A">
            <w:pPr>
              <w:pStyle w:val="Agreement"/>
            </w:pPr>
            <w:r w:rsidRPr="00F221A2">
              <w:t>Each BAP routing id has only one entry in the routing table.</w:t>
            </w:r>
          </w:p>
          <w:p w14:paraId="2B7020D4" w14:textId="77777777" w:rsidR="00EF08BF" w:rsidRDefault="00EF08BF" w:rsidP="00DB282A">
            <w:pPr>
              <w:pStyle w:val="Agreement"/>
            </w:pPr>
            <w:r w:rsidRPr="00F221A2">
              <w:t>The routing table can hold other information, e.g. priority level for entries with same BAP address, to support local selection.</w:t>
            </w:r>
            <w:r w:rsidRPr="00F221A2">
              <w:rPr>
                <w:rFonts w:eastAsia="Times New Roman"/>
                <w:bCs/>
              </w:rPr>
              <w:t xml:space="preserve"> Configuration of this information is optional.</w:t>
            </w:r>
          </w:p>
        </w:tc>
      </w:tr>
    </w:tbl>
    <w:p w14:paraId="57DFDE83" w14:textId="72FB371F" w:rsidR="00EF08BF" w:rsidRDefault="00EF08BF" w:rsidP="00EF08BF"/>
    <w:p w14:paraId="2AF15BC5" w14:textId="2A0D7653" w:rsidR="00F3742F" w:rsidRDefault="00F3742F" w:rsidP="00EF08BF">
      <w:r>
        <w:t>RAN3#104 meeting agreed “</w:t>
      </w:r>
      <w:r w:rsidRPr="00F3742F">
        <w:t xml:space="preserve">F1AP </w:t>
      </w:r>
      <w:proofErr w:type="spellStart"/>
      <w:r w:rsidRPr="00F3742F">
        <w:t>signaling</w:t>
      </w:r>
      <w:proofErr w:type="spellEnd"/>
      <w:r w:rsidRPr="00F3742F">
        <w:t xml:space="preserve"> is used to configure DL forwarding; FFS whether UE-associated or non-UE-associated</w:t>
      </w:r>
      <w:proofErr w:type="gramStart"/>
      <w:r w:rsidR="00A139A8">
        <w:t xml:space="preserve">. </w:t>
      </w:r>
      <w:r>
        <w:t>”</w:t>
      </w:r>
      <w:proofErr w:type="gramEnd"/>
    </w:p>
    <w:p w14:paraId="73979512" w14:textId="5E8F0216" w:rsidR="007F6A3A" w:rsidRPr="009D064C" w:rsidRDefault="00AB66AE" w:rsidP="00CC44F4">
      <w:pPr>
        <w:rPr>
          <w:lang w:eastAsia="ko-KR"/>
        </w:rPr>
      </w:pPr>
      <w:r>
        <w:t xml:space="preserve">In this paper, we </w:t>
      </w:r>
      <w:r w:rsidR="00AC3ABA">
        <w:t xml:space="preserve">focus on </w:t>
      </w:r>
      <w:r w:rsidR="00AC3ABA">
        <w:rPr>
          <w:lang w:eastAsia="ko-KR"/>
        </w:rPr>
        <w:t>what ID is used to identify the egress link (next hop link) in routing table</w:t>
      </w:r>
      <w:r w:rsidR="00A139A8">
        <w:rPr>
          <w:lang w:eastAsia="ko-KR"/>
        </w:rPr>
        <w:t>, and how to configure the forwarding table.</w:t>
      </w:r>
      <w:r w:rsidR="00AC3ABA">
        <w:rPr>
          <w:lang w:eastAsia="ko-KR"/>
        </w:rPr>
        <w:t xml:space="preserve"> </w:t>
      </w:r>
      <w:r w:rsidR="00F468C1">
        <w:t xml:space="preserve"> </w:t>
      </w:r>
    </w:p>
    <w:p w14:paraId="01AD768E" w14:textId="2950C83C" w:rsidR="009D064C" w:rsidRDefault="00626B3E" w:rsidP="009D064C">
      <w:pPr>
        <w:pStyle w:val="Heading1"/>
      </w:pPr>
      <w:r>
        <w:t>2</w:t>
      </w:r>
      <w:r w:rsidR="009D064C" w:rsidRPr="006E13D1">
        <w:tab/>
      </w:r>
      <w:r w:rsidR="00AC3ABA">
        <w:t>Discussion</w:t>
      </w:r>
    </w:p>
    <w:p w14:paraId="7AEE2F13" w14:textId="0172146D" w:rsidR="00AC3ABA" w:rsidRDefault="008A4118" w:rsidP="00F468C1">
      <w:r>
        <w:t xml:space="preserve">The basic routing operation which needs to be performed by each IAB node is to be able to determine to which of the connected IAB node to forward the received BAP PDU. In DL direction, this means that an IAB node needs to identify which of the MTs connected to it should receive the packet, i.e. destination / path identifier contained in the BAP header needs to be mapped to a certain MT. In UL direction on the other hand, IAB node needs to be able to identify which of IAB DUs it is connected to should receive the packet. </w:t>
      </w:r>
      <w:r w:rsidR="00F87CF9">
        <w:t>Th</w:t>
      </w:r>
      <w:r>
        <w:t>e</w:t>
      </w:r>
      <w:r w:rsidR="00F87CF9">
        <w:t xml:space="preserve"> question </w:t>
      </w:r>
      <w:r>
        <w:t xml:space="preserve">on how to identify the proper MT / DU </w:t>
      </w:r>
      <w:r w:rsidR="00EA387B">
        <w:t xml:space="preserve">has been already asked during the e-mail on routing and, as can be seen from the summary in [1], most of the companies preferred to use C-RNTI to identify the backhaul link related to the next IAB node. However, C-RNTI is only cell specific while a single IAB node can provide multiple cells and it may happen that the same C-RNTI is used for different IAB node </w:t>
      </w:r>
      <w:proofErr w:type="spellStart"/>
      <w:r w:rsidR="00EA387B">
        <w:t>MTs.</w:t>
      </w:r>
      <w:proofErr w:type="spellEnd"/>
      <w:r w:rsidR="00EA387B">
        <w:t xml:space="preserve"> That is why RAN2 excluded at least usage of C-RNTI alone. Therefore, either using C-RNTI in combination with another identifier or a different identifier</w:t>
      </w:r>
      <w:r>
        <w:t xml:space="preserve"> may be considered</w:t>
      </w:r>
      <w:r w:rsidR="00EA387B">
        <w:t>, e.g.</w:t>
      </w:r>
      <w:r>
        <w:t xml:space="preserve"> (as per options mentioned in [1])</w:t>
      </w:r>
      <w:r w:rsidR="00EA387B">
        <w:t>:</w:t>
      </w:r>
    </w:p>
    <w:p w14:paraId="0D443527" w14:textId="41624FA5" w:rsidR="00EA387B" w:rsidRDefault="00EA387B" w:rsidP="00EA387B">
      <w:pPr>
        <w:pStyle w:val="ListParagraph"/>
        <w:numPr>
          <w:ilvl w:val="0"/>
          <w:numId w:val="11"/>
        </w:numPr>
      </w:pPr>
      <w:r>
        <w:t>C-RNTI + cell ID</w:t>
      </w:r>
    </w:p>
    <w:p w14:paraId="739632FF" w14:textId="488531F0" w:rsidR="00EA387B" w:rsidRPr="008A4118" w:rsidRDefault="008A4118" w:rsidP="00EA387B">
      <w:pPr>
        <w:pStyle w:val="ListParagraph"/>
        <w:numPr>
          <w:ilvl w:val="0"/>
          <w:numId w:val="11"/>
        </w:numPr>
      </w:pPr>
      <w:proofErr w:type="spellStart"/>
      <w:r w:rsidRPr="008A4118">
        <w:t>gNB</w:t>
      </w:r>
      <w:proofErr w:type="spellEnd"/>
      <w:r w:rsidRPr="008A4118">
        <w:t>-</w:t>
      </w:r>
      <w:r>
        <w:t>D</w:t>
      </w:r>
      <w:r w:rsidRPr="008A4118">
        <w:t>U UE F1AP ID</w:t>
      </w:r>
      <w:r>
        <w:t xml:space="preserve"> and/or </w:t>
      </w:r>
      <w:proofErr w:type="spellStart"/>
      <w:r w:rsidRPr="008A4118">
        <w:rPr>
          <w:rFonts w:eastAsia="Batang"/>
          <w:bCs/>
        </w:rPr>
        <w:t>gNB</w:t>
      </w:r>
      <w:proofErr w:type="spellEnd"/>
      <w:r w:rsidRPr="008A4118">
        <w:rPr>
          <w:rFonts w:eastAsia="Batang"/>
          <w:bCs/>
        </w:rPr>
        <w:t>-CU</w:t>
      </w:r>
      <w:r w:rsidRPr="008A4118">
        <w:rPr>
          <w:bCs/>
        </w:rPr>
        <w:t xml:space="preserve"> UE F1AP ID</w:t>
      </w:r>
    </w:p>
    <w:p w14:paraId="38D9AA04" w14:textId="38CE493B" w:rsidR="008A4118" w:rsidRDefault="008A4118" w:rsidP="00EA387B">
      <w:pPr>
        <w:pStyle w:val="ListParagraph"/>
        <w:numPr>
          <w:ilvl w:val="0"/>
          <w:numId w:val="11"/>
        </w:numPr>
      </w:pPr>
      <w:r>
        <w:t>New identifier, e.g. IAB node ID</w:t>
      </w:r>
    </w:p>
    <w:p w14:paraId="386E1D2D" w14:textId="75C784F9" w:rsidR="00AC3ABA" w:rsidRDefault="00137A2C" w:rsidP="00F468C1">
      <w:r>
        <w:t xml:space="preserve">We will first discuss the second option, i.e. using </w:t>
      </w:r>
      <w:proofErr w:type="spellStart"/>
      <w:r w:rsidRPr="00137A2C">
        <w:t>gNB</w:t>
      </w:r>
      <w:proofErr w:type="spellEnd"/>
      <w:r w:rsidRPr="00137A2C">
        <w:t xml:space="preserve">-DU UE F1AP ID and/or </w:t>
      </w:r>
      <w:proofErr w:type="spellStart"/>
      <w:r w:rsidRPr="00137A2C">
        <w:t>gNB</w:t>
      </w:r>
      <w:proofErr w:type="spellEnd"/>
      <w:r w:rsidRPr="00137A2C">
        <w:t>-CU UE F1AP ID</w:t>
      </w:r>
      <w:r>
        <w:t xml:space="preserve">. As per the definition in </w:t>
      </w:r>
      <w:r w:rsidR="00F67B95">
        <w:t>[2]</w:t>
      </w:r>
      <w:r w:rsidR="00071CFD">
        <w:t>:</w:t>
      </w:r>
    </w:p>
    <w:tbl>
      <w:tblPr>
        <w:tblStyle w:val="TableGrid"/>
        <w:tblW w:w="0" w:type="auto"/>
        <w:tblLook w:val="04A0" w:firstRow="1" w:lastRow="0" w:firstColumn="1" w:lastColumn="0" w:noHBand="0" w:noVBand="1"/>
      </w:tblPr>
      <w:tblGrid>
        <w:gridCol w:w="9631"/>
      </w:tblGrid>
      <w:tr w:rsidR="00071CFD" w14:paraId="4EF421C9" w14:textId="77777777" w:rsidTr="00071CFD">
        <w:tc>
          <w:tcPr>
            <w:tcW w:w="9631" w:type="dxa"/>
          </w:tcPr>
          <w:p w14:paraId="5BCD322E" w14:textId="77777777" w:rsidR="00071CFD" w:rsidRPr="00FF178A" w:rsidRDefault="00071CFD" w:rsidP="00071CFD">
            <w:pPr>
              <w:rPr>
                <w:rFonts w:eastAsia="宋体"/>
                <w:b/>
                <w:lang w:eastAsia="zh-CN"/>
              </w:rPr>
            </w:pPr>
            <w:proofErr w:type="spellStart"/>
            <w:r w:rsidRPr="00FF178A">
              <w:rPr>
                <w:rFonts w:eastAsia="宋体"/>
                <w:b/>
                <w:lang w:eastAsia="zh-CN"/>
              </w:rPr>
              <w:lastRenderedPageBreak/>
              <w:t>gNB</w:t>
            </w:r>
            <w:proofErr w:type="spellEnd"/>
            <w:r w:rsidRPr="00FF178A">
              <w:rPr>
                <w:rFonts w:eastAsia="宋体"/>
                <w:b/>
                <w:lang w:eastAsia="zh-CN"/>
              </w:rPr>
              <w:t>-CU UE F1AP ID:</w:t>
            </w:r>
          </w:p>
          <w:p w14:paraId="6A0AFF7A" w14:textId="77777777" w:rsidR="00071CFD" w:rsidRPr="00FF178A" w:rsidRDefault="00071CFD" w:rsidP="00071CFD">
            <w:pPr>
              <w:pStyle w:val="B1"/>
              <w:ind w:left="567" w:firstLine="0"/>
            </w:pPr>
            <w:r w:rsidRPr="00FF178A">
              <w:t xml:space="preserve">A </w:t>
            </w:r>
            <w:proofErr w:type="spellStart"/>
            <w:r w:rsidRPr="00FF178A">
              <w:t>gNB</w:t>
            </w:r>
            <w:proofErr w:type="spellEnd"/>
            <w:r w:rsidRPr="00FF178A">
              <w:t xml:space="preserve">-CU UE F1AP ID shall be allocated </w:t>
            </w:r>
            <w:proofErr w:type="gramStart"/>
            <w:r w:rsidRPr="00FF178A">
              <w:t>so as to</w:t>
            </w:r>
            <w:proofErr w:type="gramEnd"/>
            <w:r w:rsidRPr="00FF178A">
              <w:t xml:space="preserve"> uniquely identify the UE over the F1 interface within a </w:t>
            </w:r>
            <w:proofErr w:type="spellStart"/>
            <w:r w:rsidRPr="00FF178A">
              <w:t>gNB</w:t>
            </w:r>
            <w:proofErr w:type="spellEnd"/>
            <w:r w:rsidRPr="00FF178A">
              <w:t xml:space="preserve">-CU. When a </w:t>
            </w:r>
            <w:proofErr w:type="spellStart"/>
            <w:r w:rsidRPr="00FF178A">
              <w:t>gNB</w:t>
            </w:r>
            <w:proofErr w:type="spellEnd"/>
            <w:r w:rsidRPr="00FF178A">
              <w:t xml:space="preserve">-DU receives a </w:t>
            </w:r>
            <w:proofErr w:type="spellStart"/>
            <w:r w:rsidRPr="00FF178A">
              <w:t>gNB</w:t>
            </w:r>
            <w:proofErr w:type="spellEnd"/>
            <w:r w:rsidRPr="00FF178A">
              <w:t xml:space="preserve">-CU UE F1AP ID it shall store it for the duration of the UE-associated logical F1-connection for this UE. The </w:t>
            </w:r>
            <w:proofErr w:type="spellStart"/>
            <w:r w:rsidRPr="00FF178A">
              <w:t>gNB</w:t>
            </w:r>
            <w:proofErr w:type="spellEnd"/>
            <w:r w:rsidRPr="00FF178A">
              <w:t xml:space="preserve">-CU UE F1AP ID shall be unique within the </w:t>
            </w:r>
            <w:proofErr w:type="spellStart"/>
            <w:r w:rsidRPr="00FF178A">
              <w:t>gNB</w:t>
            </w:r>
            <w:proofErr w:type="spellEnd"/>
            <w:r w:rsidRPr="00FF178A">
              <w:t>-CU logical node.</w:t>
            </w:r>
          </w:p>
          <w:p w14:paraId="42F7D352" w14:textId="77777777" w:rsidR="00071CFD" w:rsidRPr="00FF178A" w:rsidRDefault="00071CFD" w:rsidP="00071CFD">
            <w:pPr>
              <w:spacing w:before="100" w:beforeAutospacing="1" w:after="100" w:afterAutospacing="1"/>
              <w:rPr>
                <w:lang w:eastAsia="ja-JP"/>
              </w:rPr>
            </w:pPr>
            <w:proofErr w:type="spellStart"/>
            <w:r w:rsidRPr="00FF178A">
              <w:rPr>
                <w:rStyle w:val="Strong"/>
                <w:lang w:eastAsia="zh-CN"/>
              </w:rPr>
              <w:t>gNB</w:t>
            </w:r>
            <w:proofErr w:type="spellEnd"/>
            <w:r w:rsidRPr="00FF178A">
              <w:rPr>
                <w:rStyle w:val="Strong"/>
                <w:lang w:eastAsia="zh-CN"/>
              </w:rPr>
              <w:t>-DU UE F1AP ID:</w:t>
            </w:r>
          </w:p>
          <w:p w14:paraId="6C7B3D86" w14:textId="734EC4E8" w:rsidR="00071CFD" w:rsidRDefault="00071CFD" w:rsidP="00071CFD">
            <w:pPr>
              <w:ind w:left="567"/>
            </w:pPr>
            <w:r w:rsidRPr="00FF178A">
              <w:t xml:space="preserve">A </w:t>
            </w:r>
            <w:proofErr w:type="spellStart"/>
            <w:r w:rsidRPr="00FF178A">
              <w:t>gNB</w:t>
            </w:r>
            <w:proofErr w:type="spellEnd"/>
            <w:r w:rsidRPr="00FF178A">
              <w:t xml:space="preserve">-DU UE F1AP ID shall be allocated </w:t>
            </w:r>
            <w:proofErr w:type="gramStart"/>
            <w:r w:rsidRPr="00FF178A">
              <w:t>so as to</w:t>
            </w:r>
            <w:proofErr w:type="gramEnd"/>
            <w:r w:rsidRPr="00FF178A">
              <w:t xml:space="preserve"> uniquely identify the UE over the F1 interface within a </w:t>
            </w:r>
            <w:proofErr w:type="spellStart"/>
            <w:r w:rsidRPr="00FF178A">
              <w:t>gNB</w:t>
            </w:r>
            <w:proofErr w:type="spellEnd"/>
            <w:r w:rsidRPr="00FF178A">
              <w:t xml:space="preserve">-DU. When a </w:t>
            </w:r>
            <w:proofErr w:type="spellStart"/>
            <w:r w:rsidRPr="00FF178A">
              <w:t>gNB</w:t>
            </w:r>
            <w:proofErr w:type="spellEnd"/>
            <w:r w:rsidRPr="00FF178A">
              <w:t xml:space="preserve">-CU receives a </w:t>
            </w:r>
            <w:proofErr w:type="spellStart"/>
            <w:r w:rsidRPr="00FF178A">
              <w:t>gNB</w:t>
            </w:r>
            <w:proofErr w:type="spellEnd"/>
            <w:r w:rsidRPr="00FF178A">
              <w:t xml:space="preserve">-DU UE F1AP ID it shall store it for the duration of the UE-associated logical F1-connection for this UE. The </w:t>
            </w:r>
            <w:proofErr w:type="spellStart"/>
            <w:r w:rsidRPr="00FF178A">
              <w:t>gNB</w:t>
            </w:r>
            <w:proofErr w:type="spellEnd"/>
            <w:r w:rsidRPr="00FF178A">
              <w:t xml:space="preserve">-DU UE F1AP ID shall be unique within the </w:t>
            </w:r>
            <w:proofErr w:type="spellStart"/>
            <w:r w:rsidRPr="00FF178A">
              <w:t>gNB</w:t>
            </w:r>
            <w:proofErr w:type="spellEnd"/>
            <w:r w:rsidRPr="00FF178A">
              <w:t>-DU logical node.</w:t>
            </w:r>
          </w:p>
        </w:tc>
      </w:tr>
    </w:tbl>
    <w:p w14:paraId="70664460" w14:textId="2FE4FD48" w:rsidR="00071CFD" w:rsidRDefault="00071CFD" w:rsidP="00F468C1"/>
    <w:p w14:paraId="7ED57683" w14:textId="4DE48F10" w:rsidR="00071CFD" w:rsidRDefault="00071CFD" w:rsidP="00F468C1">
      <w:r>
        <w:t xml:space="preserve">Based on this description, </w:t>
      </w:r>
      <w:proofErr w:type="gramStart"/>
      <w:r>
        <w:t>it can be seen that the</w:t>
      </w:r>
      <w:proofErr w:type="gramEnd"/>
      <w:r>
        <w:t xml:space="preserve"> </w:t>
      </w:r>
      <w:proofErr w:type="spellStart"/>
      <w:r>
        <w:t>gNB</w:t>
      </w:r>
      <w:proofErr w:type="spellEnd"/>
      <w:r>
        <w:t xml:space="preserve">-DU uses </w:t>
      </w:r>
      <w:proofErr w:type="spellStart"/>
      <w:r w:rsidRPr="00071CFD">
        <w:t>gNB</w:t>
      </w:r>
      <w:proofErr w:type="spellEnd"/>
      <w:r w:rsidRPr="00071CFD">
        <w:t>-DU UE F1AP ID</w:t>
      </w:r>
      <w:r>
        <w:t xml:space="preserve"> to uniquely identify UEs connected to it. This identifier is assigned by the </w:t>
      </w:r>
      <w:proofErr w:type="spellStart"/>
      <w:r>
        <w:t>gNB</w:t>
      </w:r>
      <w:proofErr w:type="spellEnd"/>
      <w:r>
        <w:t xml:space="preserve">-DU and informed to the </w:t>
      </w:r>
      <w:proofErr w:type="spellStart"/>
      <w:r>
        <w:t>gNB</w:t>
      </w:r>
      <w:proofErr w:type="spellEnd"/>
      <w:r>
        <w:t xml:space="preserve">-CU, which associates it to the </w:t>
      </w:r>
      <w:proofErr w:type="spellStart"/>
      <w:r w:rsidRPr="00071CFD">
        <w:t>gNB</w:t>
      </w:r>
      <w:proofErr w:type="spellEnd"/>
      <w:r w:rsidRPr="00071CFD">
        <w:t>-</w:t>
      </w:r>
      <w:r>
        <w:t>C</w:t>
      </w:r>
      <w:r w:rsidRPr="00071CFD">
        <w:t>U UE F1AP ID</w:t>
      </w:r>
      <w:r>
        <w:t xml:space="preserve"> provided to the </w:t>
      </w:r>
      <w:proofErr w:type="spellStart"/>
      <w:r>
        <w:t>gNB</w:t>
      </w:r>
      <w:proofErr w:type="spellEnd"/>
      <w:r>
        <w:t xml:space="preserve">-DU. It should be however noted that those identifiers are stored by the </w:t>
      </w:r>
      <w:proofErr w:type="spellStart"/>
      <w:r>
        <w:t>gNB</w:t>
      </w:r>
      <w:proofErr w:type="spellEnd"/>
      <w:r>
        <w:t xml:space="preserve">-DU only for the UEs, which have a connection with it. Thus, </w:t>
      </w:r>
      <w:proofErr w:type="spellStart"/>
      <w:r w:rsidRPr="00071CFD">
        <w:t>gNB</w:t>
      </w:r>
      <w:proofErr w:type="spellEnd"/>
      <w:r w:rsidRPr="00071CFD">
        <w:t>-DU UE F1AP ID</w:t>
      </w:r>
      <w:r>
        <w:t xml:space="preserve"> could be used to identify the UE in the DL direction, but since the IAB node DU does not know </w:t>
      </w:r>
      <w:proofErr w:type="spellStart"/>
      <w:r w:rsidRPr="00071CFD">
        <w:t>gNB</w:t>
      </w:r>
      <w:proofErr w:type="spellEnd"/>
      <w:r w:rsidRPr="00071CFD">
        <w:t>-</w:t>
      </w:r>
      <w:r>
        <w:t>C</w:t>
      </w:r>
      <w:r w:rsidRPr="00071CFD">
        <w:t>U UE F1AP ID</w:t>
      </w:r>
      <w:r>
        <w:t xml:space="preserve"> of its parents’ MT, it cannot be used for UL link identification.</w:t>
      </w:r>
    </w:p>
    <w:p w14:paraId="545129A9" w14:textId="1B5B628D" w:rsidR="00071CFD" w:rsidRDefault="00071CFD" w:rsidP="00F468C1">
      <w:pPr>
        <w:rPr>
          <w:b/>
        </w:rPr>
      </w:pPr>
      <w:r>
        <w:rPr>
          <w:b/>
        </w:rPr>
        <w:t xml:space="preserve">Observation 1: </w:t>
      </w:r>
      <w:proofErr w:type="spellStart"/>
      <w:r w:rsidRPr="00071CFD">
        <w:rPr>
          <w:b/>
        </w:rPr>
        <w:t>gNB</w:t>
      </w:r>
      <w:proofErr w:type="spellEnd"/>
      <w:r w:rsidRPr="00071CFD">
        <w:rPr>
          <w:b/>
        </w:rPr>
        <w:t>-DU UE F1AP ID</w:t>
      </w:r>
      <w:r>
        <w:rPr>
          <w:b/>
        </w:rPr>
        <w:t xml:space="preserve"> can be used for next hop identification</w:t>
      </w:r>
      <w:r w:rsidR="00F01FD9">
        <w:rPr>
          <w:b/>
        </w:rPr>
        <w:t xml:space="preserve"> in DL direction</w:t>
      </w:r>
      <w:r>
        <w:rPr>
          <w:b/>
        </w:rPr>
        <w:t xml:space="preserve">, but neither </w:t>
      </w:r>
      <w:proofErr w:type="spellStart"/>
      <w:r w:rsidRPr="00071CFD">
        <w:rPr>
          <w:b/>
        </w:rPr>
        <w:t>gNB</w:t>
      </w:r>
      <w:proofErr w:type="spellEnd"/>
      <w:r w:rsidRPr="00071CFD">
        <w:rPr>
          <w:b/>
        </w:rPr>
        <w:t>-DU UE F1AP ID</w:t>
      </w:r>
      <w:r>
        <w:rPr>
          <w:b/>
        </w:rPr>
        <w:t xml:space="preserve"> nor </w:t>
      </w:r>
      <w:proofErr w:type="spellStart"/>
      <w:r w:rsidRPr="00071CFD">
        <w:rPr>
          <w:b/>
        </w:rPr>
        <w:t>gNB</w:t>
      </w:r>
      <w:proofErr w:type="spellEnd"/>
      <w:r w:rsidRPr="00071CFD">
        <w:rPr>
          <w:b/>
        </w:rPr>
        <w:t>-</w:t>
      </w:r>
      <w:r>
        <w:rPr>
          <w:b/>
        </w:rPr>
        <w:t>C</w:t>
      </w:r>
      <w:r w:rsidRPr="00071CFD">
        <w:rPr>
          <w:b/>
        </w:rPr>
        <w:t>U UE F1AP ID</w:t>
      </w:r>
      <w:r>
        <w:rPr>
          <w:b/>
        </w:rPr>
        <w:t xml:space="preserve"> are useful for next hop identification in UL</w:t>
      </w:r>
      <w:r w:rsidR="00F01FD9">
        <w:rPr>
          <w:b/>
        </w:rPr>
        <w:t xml:space="preserve"> direction.</w:t>
      </w:r>
    </w:p>
    <w:p w14:paraId="482131DF" w14:textId="1D222600" w:rsidR="00EB3D0E" w:rsidRDefault="00EB3D0E" w:rsidP="00F468C1">
      <w:r w:rsidRPr="00EB3D0E">
        <w:t>The f</w:t>
      </w:r>
      <w:r>
        <w:t>irst option, i.e. C-RNTI + cell ID (PCI) seems to be a viable option for both UL and DL directions. In DL direction, IAB node would first determine to which cell the MT</w:t>
      </w:r>
      <w:r w:rsidR="00FC6CB3">
        <w:t>,</w:t>
      </w:r>
      <w:r>
        <w:t xml:space="preserve"> </w:t>
      </w:r>
      <w:r w:rsidR="008E27EF">
        <w:t xml:space="preserve">where </w:t>
      </w:r>
      <w:r>
        <w:t>the packet is supposed to be forwarded</w:t>
      </w:r>
      <w:r w:rsidR="00FC6CB3">
        <w:t>,</w:t>
      </w:r>
      <w:r>
        <w:t xml:space="preserve"> is connected to and then based on C-RNTI it would choose the proper MT. In UL direction, the MT would determine where to send the packet based on the indicated PCI.</w:t>
      </w:r>
    </w:p>
    <w:p w14:paraId="3517146C" w14:textId="37C97D15" w:rsidR="00364DC9" w:rsidRDefault="00364DC9" w:rsidP="00F468C1">
      <w:pPr>
        <w:rPr>
          <w:b/>
        </w:rPr>
      </w:pPr>
      <w:r>
        <w:rPr>
          <w:b/>
        </w:rPr>
        <w:t>Observation 2: C-RNTI + PCI can be used to identify the backhaul link in both UL and DL directions.</w:t>
      </w:r>
    </w:p>
    <w:p w14:paraId="47D06BB1" w14:textId="47F5652E" w:rsidR="00364DC9" w:rsidRDefault="00364DC9" w:rsidP="00F468C1">
      <w:r>
        <w:t xml:space="preserve">One </w:t>
      </w:r>
      <w:r w:rsidR="004F4D56">
        <w:t xml:space="preserve">problem </w:t>
      </w:r>
      <w:r>
        <w:t xml:space="preserve">of using C-RNTI+PCI mentioned in [1] is that when the topology is updated and IAB node connects to a new parent, the routing tables would have to be modified for practically all the entries in the migrating IAB node </w:t>
      </w:r>
      <w:proofErr w:type="gramStart"/>
      <w:r>
        <w:t>and also</w:t>
      </w:r>
      <w:proofErr w:type="gramEnd"/>
      <w:r>
        <w:t xml:space="preserve"> in the CU before providing them to a new parent node. To avoid this issue, it would be beneficial to make the next hop identifier transparent for the routing configuration. This can be achieved by using an IAB node ID, </w:t>
      </w:r>
      <w:proofErr w:type="gramStart"/>
      <w:r>
        <w:t>similar to</w:t>
      </w:r>
      <w:proofErr w:type="gramEnd"/>
      <w:r>
        <w:t xml:space="preserve"> the one proposed for destination IAB node address in [3]</w:t>
      </w:r>
      <w:r w:rsidR="00714C91">
        <w:t xml:space="preserve">, to identify </w:t>
      </w:r>
      <w:r w:rsidR="002B2B64">
        <w:t xml:space="preserve">the next hop / backhaul link to forward the packet to. Donor-CU would have to only provide the mapping of C-RNTI+PCI to IAB node ID to IAB nodes while configuring routing. In case the IAB node migrates to another parent node, the same routing entries can be configured to the new parent with just an update of C-RNTI+PCI to IAB node ID mapping. </w:t>
      </w:r>
    </w:p>
    <w:p w14:paraId="17F5DBA4" w14:textId="4CC08195" w:rsidR="002B2B64" w:rsidRDefault="002B2B64" w:rsidP="00F468C1">
      <w:pPr>
        <w:rPr>
          <w:b/>
        </w:rPr>
      </w:pPr>
      <w:r>
        <w:rPr>
          <w:b/>
        </w:rPr>
        <w:t>Observation 3: Usage of IAB node ID with Donor-CU configuring IAB node ID to C-RNTI+PCI mapping can be used for next hop / backhaul link identification without the issue of routing tables update during IAB node migration to a new parent node.</w:t>
      </w:r>
    </w:p>
    <w:p w14:paraId="10381A55" w14:textId="477F273C" w:rsidR="002B2B64" w:rsidRDefault="002B2B64" w:rsidP="00F468C1">
      <w:r w:rsidRPr="002B2B64">
        <w:t>We therefore propose the following:</w:t>
      </w:r>
    </w:p>
    <w:p w14:paraId="741116CA" w14:textId="2FD56122" w:rsidR="002B2B64" w:rsidRDefault="002B2B64" w:rsidP="00F468C1">
      <w:pPr>
        <w:rPr>
          <w:b/>
        </w:rPr>
      </w:pPr>
      <w:r>
        <w:rPr>
          <w:b/>
        </w:rPr>
        <w:t>Proposal 1: IAB node identifier is used to identify the next hop / backhaul link for packet routing for both UL and DL directions.</w:t>
      </w:r>
    </w:p>
    <w:p w14:paraId="27FC28D3" w14:textId="7052FCB3" w:rsidR="002B2B64" w:rsidRDefault="002B2B64" w:rsidP="00F468C1">
      <w:pPr>
        <w:rPr>
          <w:b/>
        </w:rPr>
      </w:pPr>
      <w:r w:rsidRPr="002B2B64">
        <w:rPr>
          <w:b/>
        </w:rPr>
        <w:t>Prop</w:t>
      </w:r>
      <w:r>
        <w:rPr>
          <w:b/>
        </w:rPr>
        <w:t>osal 2: Mapping of IAB node identifier to C-RNTI+PCI is configured in IAB node by Donor CU together with routing configuration.</w:t>
      </w:r>
    </w:p>
    <w:p w14:paraId="5659CF06" w14:textId="48F023F6" w:rsidR="00C550EB" w:rsidRDefault="00C550EB" w:rsidP="00C550EB">
      <w:r w:rsidRPr="00597841">
        <w:t>Regrading on how to con</w:t>
      </w:r>
      <w:r>
        <w:t xml:space="preserve">figure the forwarding table in the Donor-DU and IAB node, there may be two options. Let’s consider following IAB, and consider the </w:t>
      </w:r>
      <w:r w:rsidR="00147FE2">
        <w:t xml:space="preserve">DL </w:t>
      </w:r>
      <w:r>
        <w:t xml:space="preserve">forwarding </w:t>
      </w:r>
      <w:r w:rsidR="00920902">
        <w:t>table in IAB11</w:t>
      </w:r>
      <w:r>
        <w:t xml:space="preserve"> as an example, </w:t>
      </w:r>
    </w:p>
    <w:p w14:paraId="4E67F20B" w14:textId="79CC1CC4" w:rsidR="00C550EB" w:rsidRDefault="00920902" w:rsidP="00C550EB">
      <w:pPr>
        <w:jc w:val="center"/>
      </w:pPr>
      <w:r>
        <w:object w:dxaOrig="3681" w:dyaOrig="3982" w14:anchorId="1B5992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3.85pt;height:198.7pt" o:ole="">
            <v:imagedata r:id="rId8" o:title=""/>
          </v:shape>
          <o:OLEObject Type="Embed" ProgID="Visio.Drawing.15" ShapeID="_x0000_i1025" DrawAspect="Content" ObjectID="_1627542744" r:id="rId9"/>
        </w:object>
      </w:r>
    </w:p>
    <w:p w14:paraId="04BD7A2C" w14:textId="77777777" w:rsidR="00C550EB" w:rsidRPr="005C64DC" w:rsidRDefault="00C550EB" w:rsidP="00C550EB">
      <w:pPr>
        <w:pStyle w:val="ListParagraph"/>
        <w:ind w:left="360"/>
        <w:jc w:val="center"/>
      </w:pPr>
      <w:bookmarkStart w:id="0" w:name="_Hlk7539041"/>
      <w:r w:rsidRPr="005C64DC">
        <w:t xml:space="preserve">Figure </w:t>
      </w:r>
      <w:r w:rsidR="00AE1D77">
        <w:rPr>
          <w:noProof/>
        </w:rPr>
        <w:fldChar w:fldCharType="begin"/>
      </w:r>
      <w:r w:rsidR="00AE1D77">
        <w:rPr>
          <w:noProof/>
        </w:rPr>
        <w:instrText xml:space="preserve"> SEQ Figure \* ARABIC </w:instrText>
      </w:r>
      <w:r w:rsidR="00AE1D77">
        <w:rPr>
          <w:noProof/>
        </w:rPr>
        <w:fldChar w:fldCharType="separate"/>
      </w:r>
      <w:r>
        <w:rPr>
          <w:noProof/>
        </w:rPr>
        <w:t>1</w:t>
      </w:r>
      <w:r w:rsidR="00AE1D77">
        <w:rPr>
          <w:noProof/>
        </w:rPr>
        <w:fldChar w:fldCharType="end"/>
      </w:r>
      <w:r w:rsidRPr="005C64DC">
        <w:t xml:space="preserve">: </w:t>
      </w:r>
      <w:r>
        <w:t>multiple-hop example</w:t>
      </w:r>
    </w:p>
    <w:bookmarkEnd w:id="0"/>
    <w:p w14:paraId="7404AC38" w14:textId="77777777" w:rsidR="00C550EB" w:rsidRDefault="00C550EB" w:rsidP="00C550EB">
      <w:pPr>
        <w:pStyle w:val="ListParagraph"/>
        <w:numPr>
          <w:ilvl w:val="0"/>
          <w:numId w:val="12"/>
        </w:numPr>
      </w:pPr>
      <w:r>
        <w:t>Option 1: the forwarding table is considered as part the context of the IAB-MT’s serving DU</w:t>
      </w:r>
    </w:p>
    <w:p w14:paraId="724FD00F" w14:textId="0DAA66AE" w:rsidR="00C550EB" w:rsidRDefault="00C550EB" w:rsidP="00C550EB">
      <w:pPr>
        <w:pStyle w:val="ListParagraph"/>
        <w:ind w:left="410"/>
      </w:pPr>
      <w:r>
        <w:t>For example, the forwarding table using IAB21 as the next node is considering as the context of IAB21-MT’s serving DU (i.e. IAB11-DU). IAB11-DU maintains one forwarding table with entries using its child IABs as next node, e.g. {[dest=IAB31, next hop=IAB21]; [dest=IAB32, next hop=IAB21], [dest=IAB31, next hop=IAB22]}</w:t>
      </w:r>
    </w:p>
    <w:p w14:paraId="7AEDC90E" w14:textId="0E722D4A" w:rsidR="00C550EB" w:rsidRDefault="00C550EB" w:rsidP="00C550EB">
      <w:pPr>
        <w:pStyle w:val="ListParagraph"/>
        <w:ind w:left="410"/>
      </w:pPr>
      <w:r>
        <w:t xml:space="preserve">In this option, Donor-CU </w:t>
      </w:r>
      <w:r w:rsidR="005B0F77">
        <w:t xml:space="preserve">can </w:t>
      </w:r>
      <w:r>
        <w:t>use</w:t>
      </w:r>
      <w:r w:rsidR="005B0F77">
        <w:t xml:space="preserve"> the</w:t>
      </w:r>
      <w:r>
        <w:t xml:space="preserve"> non-UE-associated </w:t>
      </w:r>
      <w:r w:rsidR="0042734F">
        <w:t xml:space="preserve">F1AP </w:t>
      </w:r>
      <w:r>
        <w:t xml:space="preserve">procedure to manage the forwarding table. </w:t>
      </w:r>
    </w:p>
    <w:p w14:paraId="0F4716CC" w14:textId="77777777" w:rsidR="00C550EB" w:rsidRDefault="00C550EB" w:rsidP="00C550EB">
      <w:pPr>
        <w:pStyle w:val="ListParagraph"/>
        <w:ind w:left="410"/>
      </w:pPr>
    </w:p>
    <w:p w14:paraId="35425B90" w14:textId="77777777" w:rsidR="00C550EB" w:rsidRDefault="00C550EB" w:rsidP="00C550EB">
      <w:pPr>
        <w:pStyle w:val="ListParagraph"/>
        <w:numPr>
          <w:ilvl w:val="0"/>
          <w:numId w:val="12"/>
        </w:numPr>
      </w:pPr>
      <w:r>
        <w:t>Option 2: the forwarding table is considered as part of the IAB-MT’s context in its serving DU, i.e. IAB-DU or Donor-DU</w:t>
      </w:r>
    </w:p>
    <w:p w14:paraId="4DBF79C7" w14:textId="77777777" w:rsidR="00C550EB" w:rsidRDefault="00C550EB" w:rsidP="00C550EB">
      <w:pPr>
        <w:pStyle w:val="ListParagraph"/>
        <w:ind w:left="410"/>
      </w:pPr>
      <w:r>
        <w:t xml:space="preserve">For example, in IAB11-DU, the IAB21-MT’s context has a forwarding table {[dest=IAB31, next hop=IAB21]; [dest=IAB32, next hop=IAB21]}. This means any forwarding using IAB21 as the next node will be part of IAB21-MT’s context in the IAB21-MT’s serving DU (i.e. IAB11-DU). In IAB11-DU, there are multiple forwarding tables, i.e. one per child IAB node. </w:t>
      </w:r>
    </w:p>
    <w:p w14:paraId="45AFB8A9" w14:textId="36A8B8C1" w:rsidR="00C550EB" w:rsidRDefault="00C550EB" w:rsidP="00C550EB">
      <w:pPr>
        <w:pStyle w:val="ListParagraph"/>
        <w:ind w:left="410"/>
      </w:pPr>
      <w:r>
        <w:t xml:space="preserve">In this option, Donor-CU uses UE-associated </w:t>
      </w:r>
      <w:r w:rsidR="0042734F">
        <w:t xml:space="preserve">F1AP </w:t>
      </w:r>
      <w:r>
        <w:t xml:space="preserve">procedure, e.g. F1AP UE Context management procedure, to manage the forwarding table. </w:t>
      </w:r>
    </w:p>
    <w:p w14:paraId="014BFE6B" w14:textId="77777777" w:rsidR="00C550EB" w:rsidRDefault="00C550EB" w:rsidP="00C550EB">
      <w:pPr>
        <w:pStyle w:val="ListParagraph"/>
        <w:ind w:left="410"/>
      </w:pPr>
    </w:p>
    <w:p w14:paraId="5B6C0C3C" w14:textId="77777777" w:rsidR="00C550EB" w:rsidRDefault="00C550EB" w:rsidP="00C550EB">
      <w:pPr>
        <w:pStyle w:val="ListParagraph"/>
        <w:ind w:left="410"/>
      </w:pPr>
      <w:r>
        <w:t xml:space="preserve">Both options work for DL. But in some scenarios, e.g. with redundant path, the Donor-CU may need to initiate 1 more additional procedures in Option 2 than Option 1. For example, when configure the dest=IAB31 in IAB11, CU initiates one UE-associated procedure to configure the forwarding table {[dest=IAB31, next hop=IAB21]}for IAB21-MT’s context. The CU initiates another UE-associated procedure to configure the forwarding table [dest=IAB31, next hop=IAB22] for IAB22-MT’s context. </w:t>
      </w:r>
    </w:p>
    <w:p w14:paraId="5B1E50EF" w14:textId="77777777" w:rsidR="00C550EB" w:rsidRDefault="00C550EB" w:rsidP="00C550EB">
      <w:r>
        <w:t xml:space="preserve">We also need to consider the UL routing. For example, with redundant route, the UL forwarding table also need to be configured. For example, when IAB31 sends an UL F1-U data packet to DU1, Donor-CU need to configure IAB31 on which UL path should be used. The UL forward table can only be considered as IAB-DU’s context. In the UL direction, the forwarding table can only be configured via non-UE-associated signalling. </w:t>
      </w:r>
    </w:p>
    <w:p w14:paraId="3513BEC9" w14:textId="31CA0463" w:rsidR="00C550EB" w:rsidRDefault="00C550EB" w:rsidP="00C550EB">
      <w:r>
        <w:t xml:space="preserve">In a summary, using non-UE-associated </w:t>
      </w:r>
      <w:r w:rsidR="0042734F">
        <w:t xml:space="preserve">F1AP </w:t>
      </w:r>
      <w:r>
        <w:t xml:space="preserve">signalling can configure both UL and DL, while using the UE-associated signalling </w:t>
      </w:r>
      <w:r w:rsidR="0042734F">
        <w:t xml:space="preserve">F1AP </w:t>
      </w:r>
      <w:r>
        <w:t xml:space="preserve">can only configure DL. So we prefer to use non-UE-associated signalling. </w:t>
      </w:r>
    </w:p>
    <w:p w14:paraId="518AF651" w14:textId="5A93F542" w:rsidR="00C550EB" w:rsidRPr="0042734F" w:rsidRDefault="00C550EB" w:rsidP="00C550EB">
      <w:pPr>
        <w:rPr>
          <w:b/>
        </w:rPr>
      </w:pPr>
      <w:r w:rsidRPr="0042734F">
        <w:rPr>
          <w:b/>
        </w:rPr>
        <w:t xml:space="preserve">Observation 4: using non-UE-associated </w:t>
      </w:r>
      <w:r w:rsidR="0042734F" w:rsidRPr="0042734F">
        <w:rPr>
          <w:b/>
        </w:rPr>
        <w:t xml:space="preserve">F1AP </w:t>
      </w:r>
      <w:r w:rsidRPr="0042734F">
        <w:rPr>
          <w:b/>
        </w:rPr>
        <w:t xml:space="preserve">signalling can configure both UL and DL, while using the UE-associated </w:t>
      </w:r>
      <w:r w:rsidR="0042734F" w:rsidRPr="0042734F">
        <w:rPr>
          <w:b/>
        </w:rPr>
        <w:t xml:space="preserve">F1AP </w:t>
      </w:r>
      <w:r w:rsidRPr="0042734F">
        <w:rPr>
          <w:b/>
        </w:rPr>
        <w:t>signalling can only configure DL.</w:t>
      </w:r>
    </w:p>
    <w:p w14:paraId="6454EE05" w14:textId="48C82CF0" w:rsidR="003120FB" w:rsidRPr="002B2B64" w:rsidRDefault="00C550EB" w:rsidP="00F468C1">
      <w:pPr>
        <w:rPr>
          <w:b/>
        </w:rPr>
      </w:pPr>
      <w:r w:rsidRPr="002B2B64">
        <w:rPr>
          <w:b/>
        </w:rPr>
        <w:t>Prop</w:t>
      </w:r>
      <w:r>
        <w:rPr>
          <w:b/>
        </w:rPr>
        <w:t>osal 3: us</w:t>
      </w:r>
      <w:r w:rsidR="000F67FF">
        <w:rPr>
          <w:b/>
        </w:rPr>
        <w:t>e</w:t>
      </w:r>
      <w:r>
        <w:rPr>
          <w:b/>
        </w:rPr>
        <w:t xml:space="preserve"> non-UE-associated </w:t>
      </w:r>
      <w:r w:rsidR="00BA71DD">
        <w:rPr>
          <w:b/>
        </w:rPr>
        <w:t xml:space="preserve">F1AP </w:t>
      </w:r>
      <w:r>
        <w:rPr>
          <w:b/>
        </w:rPr>
        <w:t xml:space="preserve">signalling to configure the forwarding table. </w:t>
      </w:r>
    </w:p>
    <w:p w14:paraId="44977C92" w14:textId="56756DD9" w:rsidR="00EA387B" w:rsidRDefault="00954DFD" w:rsidP="00954DFD">
      <w:pPr>
        <w:pStyle w:val="Heading1"/>
      </w:pPr>
      <w:r>
        <w:t>3</w:t>
      </w:r>
      <w:r>
        <w:tab/>
        <w:t>Summary</w:t>
      </w:r>
    </w:p>
    <w:p w14:paraId="72040D2C" w14:textId="5B9474BD" w:rsidR="00954DFD" w:rsidRDefault="00954DFD" w:rsidP="00954DFD">
      <w:r>
        <w:t>The following is observed in the paper with respect to different ways of identifying next hop / backhaul link for routing using BAP:</w:t>
      </w:r>
    </w:p>
    <w:p w14:paraId="541B2356" w14:textId="77777777" w:rsidR="00954DFD" w:rsidRDefault="00954DFD" w:rsidP="00954DFD">
      <w:pPr>
        <w:rPr>
          <w:b/>
        </w:rPr>
      </w:pPr>
      <w:r>
        <w:rPr>
          <w:b/>
        </w:rPr>
        <w:t xml:space="preserve">Observation 1: </w:t>
      </w:r>
      <w:r w:rsidRPr="00071CFD">
        <w:rPr>
          <w:b/>
        </w:rPr>
        <w:t>gNB-DU UE F1AP ID</w:t>
      </w:r>
      <w:r>
        <w:rPr>
          <w:b/>
        </w:rPr>
        <w:t xml:space="preserve"> can be used for next hop identification in DL direction, but neither </w:t>
      </w:r>
      <w:r w:rsidRPr="00071CFD">
        <w:rPr>
          <w:b/>
        </w:rPr>
        <w:t>gNB-DU UE F1AP ID</w:t>
      </w:r>
      <w:r>
        <w:rPr>
          <w:b/>
        </w:rPr>
        <w:t xml:space="preserve"> nor </w:t>
      </w:r>
      <w:r w:rsidRPr="00071CFD">
        <w:rPr>
          <w:b/>
        </w:rPr>
        <w:t>gNB-</w:t>
      </w:r>
      <w:r>
        <w:rPr>
          <w:b/>
        </w:rPr>
        <w:t>C</w:t>
      </w:r>
      <w:r w:rsidRPr="00071CFD">
        <w:rPr>
          <w:b/>
        </w:rPr>
        <w:t>U UE F1AP ID</w:t>
      </w:r>
      <w:r>
        <w:rPr>
          <w:b/>
        </w:rPr>
        <w:t xml:space="preserve"> are useful for next hop identification in UL direction.</w:t>
      </w:r>
    </w:p>
    <w:p w14:paraId="30277D26" w14:textId="77777777" w:rsidR="00954DFD" w:rsidRDefault="00954DFD" w:rsidP="00954DFD">
      <w:pPr>
        <w:rPr>
          <w:b/>
        </w:rPr>
      </w:pPr>
      <w:r>
        <w:rPr>
          <w:b/>
        </w:rPr>
        <w:t>Observation 2: C-RNTI + PCI can be used to identify the backhaul link in both UL and DL directions.</w:t>
      </w:r>
    </w:p>
    <w:p w14:paraId="75F8EBA6" w14:textId="77777777" w:rsidR="00954DFD" w:rsidRDefault="00954DFD" w:rsidP="00954DFD">
      <w:pPr>
        <w:rPr>
          <w:b/>
        </w:rPr>
      </w:pPr>
      <w:r>
        <w:rPr>
          <w:b/>
        </w:rPr>
        <w:lastRenderedPageBreak/>
        <w:t>Observation 3: Usage of IAB node ID with Donor-CU configuring IAB node ID to C-RNTI+PCI mapping can be used for next hop / backhaul link identification without the issue of routing tables update during IAB node migration to a new parent node.</w:t>
      </w:r>
    </w:p>
    <w:p w14:paraId="7B346E4A" w14:textId="77777777" w:rsidR="0049160B" w:rsidRPr="0042734F" w:rsidRDefault="0049160B" w:rsidP="0049160B">
      <w:pPr>
        <w:rPr>
          <w:b/>
        </w:rPr>
      </w:pPr>
      <w:r w:rsidRPr="0042734F">
        <w:rPr>
          <w:b/>
        </w:rPr>
        <w:t>Observation 4: using non-UE-associated F1AP signalling can configure both UL and DL, while using the UE-associated F1AP signalling can only configure DL.</w:t>
      </w:r>
    </w:p>
    <w:p w14:paraId="694F6BEC" w14:textId="0ED9620F" w:rsidR="00954DFD" w:rsidRDefault="00954DFD" w:rsidP="00954DFD">
      <w:r>
        <w:t>Based on the observations it is proposed to agree on the following:</w:t>
      </w:r>
    </w:p>
    <w:p w14:paraId="6D38BEC2" w14:textId="77777777" w:rsidR="00954DFD" w:rsidRDefault="00954DFD" w:rsidP="00954DFD">
      <w:pPr>
        <w:rPr>
          <w:b/>
        </w:rPr>
      </w:pPr>
      <w:r>
        <w:rPr>
          <w:b/>
        </w:rPr>
        <w:t>Proposal 1: IAB node identifier is used to identify the next hop / backhaul link for packet routing for both UL and DL directions.</w:t>
      </w:r>
    </w:p>
    <w:p w14:paraId="34FAF9E2" w14:textId="77777777" w:rsidR="00954DFD" w:rsidRPr="002B2B64" w:rsidRDefault="00954DFD" w:rsidP="00954DFD">
      <w:pPr>
        <w:rPr>
          <w:b/>
        </w:rPr>
      </w:pPr>
      <w:r w:rsidRPr="002B2B64">
        <w:rPr>
          <w:b/>
        </w:rPr>
        <w:t>Prop</w:t>
      </w:r>
      <w:r>
        <w:rPr>
          <w:b/>
        </w:rPr>
        <w:t>osal 2: Mapping of IAB node identifier to C-RNTI+PCI is configured in IAB node by Donor CU together with routing configuration.</w:t>
      </w:r>
    </w:p>
    <w:p w14:paraId="0B0AC630" w14:textId="77777777" w:rsidR="0049160B" w:rsidRPr="002B2B64" w:rsidRDefault="0049160B" w:rsidP="0049160B">
      <w:pPr>
        <w:rPr>
          <w:b/>
        </w:rPr>
      </w:pPr>
      <w:r w:rsidRPr="002B2B64">
        <w:rPr>
          <w:b/>
        </w:rPr>
        <w:t>Prop</w:t>
      </w:r>
      <w:r>
        <w:rPr>
          <w:b/>
        </w:rPr>
        <w:t xml:space="preserve">osal 3: use non-UE-associated F1AP signalling to configure the forwarding table. </w:t>
      </w:r>
    </w:p>
    <w:p w14:paraId="35F222F4" w14:textId="37C2EACB" w:rsidR="00080512" w:rsidRDefault="00EA387B" w:rsidP="00EA387B">
      <w:pPr>
        <w:pStyle w:val="Heading1"/>
      </w:pPr>
      <w:bookmarkStart w:id="1" w:name="_GoBack"/>
      <w:bookmarkEnd w:id="1"/>
      <w:r>
        <w:t>References</w:t>
      </w:r>
    </w:p>
    <w:p w14:paraId="4BB6515D" w14:textId="36AD4BD4" w:rsidR="00EA387B" w:rsidRDefault="00EA387B" w:rsidP="00EA387B">
      <w:pPr>
        <w:pStyle w:val="ListParagraph"/>
        <w:numPr>
          <w:ilvl w:val="0"/>
          <w:numId w:val="10"/>
        </w:numPr>
      </w:pPr>
      <w:r w:rsidRPr="00EA387B">
        <w:t>R2-1905063</w:t>
      </w:r>
      <w:r>
        <w:t xml:space="preserve">, </w:t>
      </w:r>
      <w:r w:rsidRPr="00EA387B">
        <w:rPr>
          <w:i/>
        </w:rPr>
        <w:t>Summary of email discussion [105#46][IAB] Routing</w:t>
      </w:r>
      <w:r>
        <w:t xml:space="preserve">, </w:t>
      </w:r>
      <w:r w:rsidRPr="00EA387B">
        <w:t>LG Electronics Inc.</w:t>
      </w:r>
    </w:p>
    <w:p w14:paraId="3142CD99" w14:textId="1A31FFCE" w:rsidR="00F67B95" w:rsidRPr="00364DC9" w:rsidRDefault="00F67B95" w:rsidP="000428CF">
      <w:pPr>
        <w:pStyle w:val="ListParagraph"/>
        <w:numPr>
          <w:ilvl w:val="0"/>
          <w:numId w:val="10"/>
        </w:numPr>
      </w:pPr>
      <w:r>
        <w:t xml:space="preserve">3GPP TS 38.401, </w:t>
      </w:r>
      <w:r w:rsidRPr="00F67B95">
        <w:rPr>
          <w:i/>
        </w:rPr>
        <w:t>NG-RAN; Architecture description</w:t>
      </w:r>
    </w:p>
    <w:p w14:paraId="0B2F486C" w14:textId="1C79ED82" w:rsidR="00364DC9" w:rsidRPr="00EA387B" w:rsidRDefault="006F0FB9" w:rsidP="000428CF">
      <w:pPr>
        <w:pStyle w:val="ListParagraph"/>
        <w:numPr>
          <w:ilvl w:val="0"/>
          <w:numId w:val="10"/>
        </w:numPr>
      </w:pPr>
      <w:r w:rsidRPr="006F0FB9">
        <w:t>R2-1907189</w:t>
      </w:r>
      <w:r w:rsidR="00364DC9">
        <w:t xml:space="preserve">, </w:t>
      </w:r>
      <w:r w:rsidR="00364DC9" w:rsidRPr="00364DC9">
        <w:rPr>
          <w:i/>
        </w:rPr>
        <w:t>Routing with BAP</w:t>
      </w:r>
      <w:r w:rsidR="00364DC9">
        <w:t xml:space="preserve">, </w:t>
      </w:r>
      <w:r w:rsidR="00364DC9" w:rsidRPr="00364DC9">
        <w:t>Nokia, Nokia Shanghai Bell</w:t>
      </w:r>
    </w:p>
    <w:sectPr w:rsidR="00364DC9" w:rsidRPr="00EA387B" w:rsidSect="00006E8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26F9CA" w14:textId="77777777" w:rsidR="00875B18" w:rsidRDefault="00875B18">
      <w:r>
        <w:separator/>
      </w:r>
    </w:p>
  </w:endnote>
  <w:endnote w:type="continuationSeparator" w:id="0">
    <w:p w14:paraId="5CE4310B" w14:textId="77777777" w:rsidR="00875B18" w:rsidRDefault="00875B18">
      <w:r>
        <w:continuationSeparator/>
      </w:r>
    </w:p>
  </w:endnote>
  <w:endnote w:type="continuationNotice" w:id="1">
    <w:p w14:paraId="107F52EE" w14:textId="77777777" w:rsidR="00875B18" w:rsidRDefault="00875B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altName w:val="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55E8E6" w14:textId="77777777" w:rsidR="00875B18" w:rsidRDefault="00875B18">
      <w:r>
        <w:separator/>
      </w:r>
    </w:p>
  </w:footnote>
  <w:footnote w:type="continuationSeparator" w:id="0">
    <w:p w14:paraId="4489FD5B" w14:textId="77777777" w:rsidR="00875B18" w:rsidRDefault="00875B18">
      <w:r>
        <w:continuationSeparator/>
      </w:r>
    </w:p>
  </w:footnote>
  <w:footnote w:type="continuationNotice" w:id="1">
    <w:p w14:paraId="52BC183B" w14:textId="77777777" w:rsidR="00875B18" w:rsidRDefault="00875B1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40668F"/>
    <w:multiLevelType w:val="hybridMultilevel"/>
    <w:tmpl w:val="8910B7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38A5526"/>
    <w:multiLevelType w:val="hybridMultilevel"/>
    <w:tmpl w:val="3134E508"/>
    <w:lvl w:ilvl="0" w:tplc="08090001">
      <w:start w:val="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5DB1691"/>
    <w:multiLevelType w:val="hybridMultilevel"/>
    <w:tmpl w:val="BDFE477C"/>
    <w:lvl w:ilvl="0" w:tplc="AA4EF41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AEC037A"/>
    <w:multiLevelType w:val="hybridMultilevel"/>
    <w:tmpl w:val="8ACC3A5A"/>
    <w:lvl w:ilvl="0" w:tplc="08090001">
      <w:start w:val="1"/>
      <w:numFmt w:val="bullet"/>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5D57484"/>
    <w:multiLevelType w:val="hybridMultilevel"/>
    <w:tmpl w:val="0B68E4F6"/>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5B73999"/>
    <w:multiLevelType w:val="hybridMultilevel"/>
    <w:tmpl w:val="BA805A80"/>
    <w:lvl w:ilvl="0" w:tplc="8646BA32">
      <w:start w:val="36"/>
      <w:numFmt w:val="bullet"/>
      <w:lvlText w:val=""/>
      <w:lvlJc w:val="left"/>
      <w:pPr>
        <w:ind w:left="410" w:hanging="360"/>
      </w:pPr>
      <w:rPr>
        <w:rFonts w:ascii="Symbol" w:eastAsia="Times New Roman"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0" w15:restartNumberingAfterBreak="0">
    <w:nsid w:val="7D1C7571"/>
    <w:multiLevelType w:val="hybridMultilevel"/>
    <w:tmpl w:val="6B9810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6"/>
  </w:num>
  <w:num w:numId="7">
    <w:abstractNumId w:val="2"/>
  </w:num>
  <w:num w:numId="8">
    <w:abstractNumId w:val="10"/>
  </w:num>
  <w:num w:numId="9">
    <w:abstractNumId w:val="8"/>
  </w:num>
  <w:num w:numId="10">
    <w:abstractNumId w:val="4"/>
  </w:num>
  <w:num w:numId="11">
    <w:abstractNumId w:val="7"/>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93C"/>
    <w:rsid w:val="000053A3"/>
    <w:rsid w:val="00006E86"/>
    <w:rsid w:val="00013C42"/>
    <w:rsid w:val="00033397"/>
    <w:rsid w:val="00040095"/>
    <w:rsid w:val="00045E4A"/>
    <w:rsid w:val="00046FA3"/>
    <w:rsid w:val="0004762F"/>
    <w:rsid w:val="00056EC9"/>
    <w:rsid w:val="0005787D"/>
    <w:rsid w:val="00062323"/>
    <w:rsid w:val="00064EDA"/>
    <w:rsid w:val="00066B4A"/>
    <w:rsid w:val="00067C18"/>
    <w:rsid w:val="00071CFD"/>
    <w:rsid w:val="000738F8"/>
    <w:rsid w:val="00080512"/>
    <w:rsid w:val="00090468"/>
    <w:rsid w:val="000965EC"/>
    <w:rsid w:val="000A32BF"/>
    <w:rsid w:val="000A524C"/>
    <w:rsid w:val="000B0A78"/>
    <w:rsid w:val="000B1B63"/>
    <w:rsid w:val="000B2C4D"/>
    <w:rsid w:val="000B6740"/>
    <w:rsid w:val="000B6877"/>
    <w:rsid w:val="000B7BCF"/>
    <w:rsid w:val="000C5061"/>
    <w:rsid w:val="000C522B"/>
    <w:rsid w:val="000D58AB"/>
    <w:rsid w:val="000E030A"/>
    <w:rsid w:val="000E1CA9"/>
    <w:rsid w:val="000E5EF3"/>
    <w:rsid w:val="000F27B4"/>
    <w:rsid w:val="000F67FF"/>
    <w:rsid w:val="000F6C1B"/>
    <w:rsid w:val="001021E3"/>
    <w:rsid w:val="00112F1A"/>
    <w:rsid w:val="00122147"/>
    <w:rsid w:val="00123B34"/>
    <w:rsid w:val="0013349F"/>
    <w:rsid w:val="00137A2C"/>
    <w:rsid w:val="00137CD6"/>
    <w:rsid w:val="00140537"/>
    <w:rsid w:val="00144650"/>
    <w:rsid w:val="00145075"/>
    <w:rsid w:val="00147FE2"/>
    <w:rsid w:val="00150EF0"/>
    <w:rsid w:val="00154731"/>
    <w:rsid w:val="00155D33"/>
    <w:rsid w:val="001643E4"/>
    <w:rsid w:val="001726AE"/>
    <w:rsid w:val="001741A0"/>
    <w:rsid w:val="00175A04"/>
    <w:rsid w:val="00175FA0"/>
    <w:rsid w:val="001774F0"/>
    <w:rsid w:val="00177997"/>
    <w:rsid w:val="00177CD3"/>
    <w:rsid w:val="00194CD0"/>
    <w:rsid w:val="001A05EA"/>
    <w:rsid w:val="001A2EA1"/>
    <w:rsid w:val="001A51E6"/>
    <w:rsid w:val="001A67EB"/>
    <w:rsid w:val="001B49C9"/>
    <w:rsid w:val="001C4F79"/>
    <w:rsid w:val="001D0089"/>
    <w:rsid w:val="001D0E82"/>
    <w:rsid w:val="001D119D"/>
    <w:rsid w:val="001E6AE1"/>
    <w:rsid w:val="001F168B"/>
    <w:rsid w:val="001F1C44"/>
    <w:rsid w:val="001F4893"/>
    <w:rsid w:val="001F7831"/>
    <w:rsid w:val="0020055D"/>
    <w:rsid w:val="00200916"/>
    <w:rsid w:val="00204045"/>
    <w:rsid w:val="0020712B"/>
    <w:rsid w:val="002072EA"/>
    <w:rsid w:val="002134EF"/>
    <w:rsid w:val="002257BC"/>
    <w:rsid w:val="0022606D"/>
    <w:rsid w:val="00231728"/>
    <w:rsid w:val="00232224"/>
    <w:rsid w:val="00235C7B"/>
    <w:rsid w:val="00241C3B"/>
    <w:rsid w:val="00246DCA"/>
    <w:rsid w:val="0025666C"/>
    <w:rsid w:val="002610D8"/>
    <w:rsid w:val="00266F8B"/>
    <w:rsid w:val="00267BE9"/>
    <w:rsid w:val="00270A2B"/>
    <w:rsid w:val="002747EC"/>
    <w:rsid w:val="002763ED"/>
    <w:rsid w:val="00277079"/>
    <w:rsid w:val="00283076"/>
    <w:rsid w:val="0028353C"/>
    <w:rsid w:val="002855BF"/>
    <w:rsid w:val="0028605B"/>
    <w:rsid w:val="00287790"/>
    <w:rsid w:val="00297793"/>
    <w:rsid w:val="002A6112"/>
    <w:rsid w:val="002A67A1"/>
    <w:rsid w:val="002A7677"/>
    <w:rsid w:val="002B2B64"/>
    <w:rsid w:val="002B4650"/>
    <w:rsid w:val="002C63E8"/>
    <w:rsid w:val="002D6D07"/>
    <w:rsid w:val="002F0D22"/>
    <w:rsid w:val="002F3703"/>
    <w:rsid w:val="003120FB"/>
    <w:rsid w:val="003172DC"/>
    <w:rsid w:val="00317AB3"/>
    <w:rsid w:val="00325617"/>
    <w:rsid w:val="00325AE3"/>
    <w:rsid w:val="00325D53"/>
    <w:rsid w:val="00326069"/>
    <w:rsid w:val="00330670"/>
    <w:rsid w:val="00336A3A"/>
    <w:rsid w:val="0035462D"/>
    <w:rsid w:val="00364B41"/>
    <w:rsid w:val="00364DC9"/>
    <w:rsid w:val="0037216F"/>
    <w:rsid w:val="00390FB1"/>
    <w:rsid w:val="00391DCB"/>
    <w:rsid w:val="00392CAA"/>
    <w:rsid w:val="003955F9"/>
    <w:rsid w:val="003A41EF"/>
    <w:rsid w:val="003B20C0"/>
    <w:rsid w:val="003B40AD"/>
    <w:rsid w:val="003C30B9"/>
    <w:rsid w:val="003C4E37"/>
    <w:rsid w:val="003C5455"/>
    <w:rsid w:val="003E16BE"/>
    <w:rsid w:val="003F4E28"/>
    <w:rsid w:val="004006E8"/>
    <w:rsid w:val="00401855"/>
    <w:rsid w:val="0040331B"/>
    <w:rsid w:val="004208C6"/>
    <w:rsid w:val="0042734F"/>
    <w:rsid w:val="0043279D"/>
    <w:rsid w:val="00436604"/>
    <w:rsid w:val="00443E19"/>
    <w:rsid w:val="004460E0"/>
    <w:rsid w:val="0045687B"/>
    <w:rsid w:val="00465587"/>
    <w:rsid w:val="004713F2"/>
    <w:rsid w:val="00477455"/>
    <w:rsid w:val="00481C82"/>
    <w:rsid w:val="00481DD6"/>
    <w:rsid w:val="0048427A"/>
    <w:rsid w:val="0048729C"/>
    <w:rsid w:val="0049160B"/>
    <w:rsid w:val="0049291F"/>
    <w:rsid w:val="004A1213"/>
    <w:rsid w:val="004A1F7B"/>
    <w:rsid w:val="004C44D2"/>
    <w:rsid w:val="004D3578"/>
    <w:rsid w:val="004D380D"/>
    <w:rsid w:val="004D5BF0"/>
    <w:rsid w:val="004E17CA"/>
    <w:rsid w:val="004E213A"/>
    <w:rsid w:val="004E6C9A"/>
    <w:rsid w:val="004F03C8"/>
    <w:rsid w:val="004F1475"/>
    <w:rsid w:val="004F3B29"/>
    <w:rsid w:val="004F4D56"/>
    <w:rsid w:val="00502C9E"/>
    <w:rsid w:val="00503171"/>
    <w:rsid w:val="00506C28"/>
    <w:rsid w:val="00512725"/>
    <w:rsid w:val="0052679E"/>
    <w:rsid w:val="00531E15"/>
    <w:rsid w:val="00534DA0"/>
    <w:rsid w:val="00543E6C"/>
    <w:rsid w:val="00545841"/>
    <w:rsid w:val="00550365"/>
    <w:rsid w:val="00551448"/>
    <w:rsid w:val="00552C29"/>
    <w:rsid w:val="00553362"/>
    <w:rsid w:val="00553C79"/>
    <w:rsid w:val="005540D7"/>
    <w:rsid w:val="00555D99"/>
    <w:rsid w:val="00563F49"/>
    <w:rsid w:val="00564953"/>
    <w:rsid w:val="00565087"/>
    <w:rsid w:val="0056573F"/>
    <w:rsid w:val="00566433"/>
    <w:rsid w:val="00572F6A"/>
    <w:rsid w:val="00584E36"/>
    <w:rsid w:val="0059538D"/>
    <w:rsid w:val="00595F23"/>
    <w:rsid w:val="005A309C"/>
    <w:rsid w:val="005B0535"/>
    <w:rsid w:val="005B0F77"/>
    <w:rsid w:val="005B3296"/>
    <w:rsid w:val="005B4DDC"/>
    <w:rsid w:val="005B719F"/>
    <w:rsid w:val="005D645D"/>
    <w:rsid w:val="005D6B38"/>
    <w:rsid w:val="005E7262"/>
    <w:rsid w:val="005F0F7C"/>
    <w:rsid w:val="00611566"/>
    <w:rsid w:val="00616831"/>
    <w:rsid w:val="00623172"/>
    <w:rsid w:val="0062445A"/>
    <w:rsid w:val="00626B3E"/>
    <w:rsid w:val="00646D99"/>
    <w:rsid w:val="00656910"/>
    <w:rsid w:val="00685101"/>
    <w:rsid w:val="006905F0"/>
    <w:rsid w:val="00692F55"/>
    <w:rsid w:val="00693BD7"/>
    <w:rsid w:val="00695F4B"/>
    <w:rsid w:val="006C105E"/>
    <w:rsid w:val="006C6031"/>
    <w:rsid w:val="006C66D8"/>
    <w:rsid w:val="006D0F61"/>
    <w:rsid w:val="006D1E24"/>
    <w:rsid w:val="006D5547"/>
    <w:rsid w:val="006E1417"/>
    <w:rsid w:val="006F0FB9"/>
    <w:rsid w:val="006F5718"/>
    <w:rsid w:val="006F6148"/>
    <w:rsid w:val="006F6A2C"/>
    <w:rsid w:val="006F6F9B"/>
    <w:rsid w:val="0070383E"/>
    <w:rsid w:val="00705E4D"/>
    <w:rsid w:val="00710201"/>
    <w:rsid w:val="00711E4A"/>
    <w:rsid w:val="00712381"/>
    <w:rsid w:val="00714C91"/>
    <w:rsid w:val="00716DFF"/>
    <w:rsid w:val="007342B5"/>
    <w:rsid w:val="00734A5B"/>
    <w:rsid w:val="00744E76"/>
    <w:rsid w:val="007461E9"/>
    <w:rsid w:val="0075098D"/>
    <w:rsid w:val="00757D40"/>
    <w:rsid w:val="007628FA"/>
    <w:rsid w:val="00765CD3"/>
    <w:rsid w:val="00767286"/>
    <w:rsid w:val="00781F0F"/>
    <w:rsid w:val="0078727C"/>
    <w:rsid w:val="0078745C"/>
    <w:rsid w:val="0079049D"/>
    <w:rsid w:val="0079166A"/>
    <w:rsid w:val="00793DC5"/>
    <w:rsid w:val="007B18D8"/>
    <w:rsid w:val="007B6BE1"/>
    <w:rsid w:val="007C095F"/>
    <w:rsid w:val="007C2DD0"/>
    <w:rsid w:val="007C3121"/>
    <w:rsid w:val="007C4663"/>
    <w:rsid w:val="007C7F11"/>
    <w:rsid w:val="007D612E"/>
    <w:rsid w:val="007E2860"/>
    <w:rsid w:val="007F6A3A"/>
    <w:rsid w:val="008028A4"/>
    <w:rsid w:val="00803054"/>
    <w:rsid w:val="00811CD0"/>
    <w:rsid w:val="00812741"/>
    <w:rsid w:val="00813245"/>
    <w:rsid w:val="0082785C"/>
    <w:rsid w:val="00830CF3"/>
    <w:rsid w:val="00831046"/>
    <w:rsid w:val="00834C52"/>
    <w:rsid w:val="00836F2D"/>
    <w:rsid w:val="00844047"/>
    <w:rsid w:val="00850A17"/>
    <w:rsid w:val="008602D8"/>
    <w:rsid w:val="00860CBD"/>
    <w:rsid w:val="00867366"/>
    <w:rsid w:val="00870A93"/>
    <w:rsid w:val="00872134"/>
    <w:rsid w:val="00873EFC"/>
    <w:rsid w:val="00875B18"/>
    <w:rsid w:val="008768CA"/>
    <w:rsid w:val="00877EF9"/>
    <w:rsid w:val="00880559"/>
    <w:rsid w:val="00882438"/>
    <w:rsid w:val="008A4118"/>
    <w:rsid w:val="008A56EC"/>
    <w:rsid w:val="008A5A47"/>
    <w:rsid w:val="008B35B0"/>
    <w:rsid w:val="008B4887"/>
    <w:rsid w:val="008B5306"/>
    <w:rsid w:val="008B56FB"/>
    <w:rsid w:val="008B69AA"/>
    <w:rsid w:val="008C1658"/>
    <w:rsid w:val="008C3A7D"/>
    <w:rsid w:val="008D28B6"/>
    <w:rsid w:val="008D2E4D"/>
    <w:rsid w:val="008D3E75"/>
    <w:rsid w:val="008D6025"/>
    <w:rsid w:val="008D758B"/>
    <w:rsid w:val="008E27EF"/>
    <w:rsid w:val="008E7D78"/>
    <w:rsid w:val="008F396F"/>
    <w:rsid w:val="0090271F"/>
    <w:rsid w:val="00902DB9"/>
    <w:rsid w:val="0090466A"/>
    <w:rsid w:val="0090765A"/>
    <w:rsid w:val="00920902"/>
    <w:rsid w:val="00925773"/>
    <w:rsid w:val="00925EE4"/>
    <w:rsid w:val="00926E73"/>
    <w:rsid w:val="009304A2"/>
    <w:rsid w:val="00936071"/>
    <w:rsid w:val="00937777"/>
    <w:rsid w:val="00937855"/>
    <w:rsid w:val="00940212"/>
    <w:rsid w:val="00942EC2"/>
    <w:rsid w:val="00943B93"/>
    <w:rsid w:val="00953D9F"/>
    <w:rsid w:val="00954DFD"/>
    <w:rsid w:val="00955223"/>
    <w:rsid w:val="009574D6"/>
    <w:rsid w:val="00961B32"/>
    <w:rsid w:val="00962509"/>
    <w:rsid w:val="00970DB3"/>
    <w:rsid w:val="00974BB0"/>
    <w:rsid w:val="00977F7B"/>
    <w:rsid w:val="00984E58"/>
    <w:rsid w:val="009A0AF3"/>
    <w:rsid w:val="009A6592"/>
    <w:rsid w:val="009B0194"/>
    <w:rsid w:val="009B07CD"/>
    <w:rsid w:val="009C19E9"/>
    <w:rsid w:val="009C29B0"/>
    <w:rsid w:val="009D064C"/>
    <w:rsid w:val="009D69D0"/>
    <w:rsid w:val="009D74A6"/>
    <w:rsid w:val="009E7698"/>
    <w:rsid w:val="009F5877"/>
    <w:rsid w:val="009F70A5"/>
    <w:rsid w:val="00A00695"/>
    <w:rsid w:val="00A018CE"/>
    <w:rsid w:val="00A0427D"/>
    <w:rsid w:val="00A10F02"/>
    <w:rsid w:val="00A139A8"/>
    <w:rsid w:val="00A204CA"/>
    <w:rsid w:val="00A2181B"/>
    <w:rsid w:val="00A21EF3"/>
    <w:rsid w:val="00A24350"/>
    <w:rsid w:val="00A3416C"/>
    <w:rsid w:val="00A37FBE"/>
    <w:rsid w:val="00A41E66"/>
    <w:rsid w:val="00A42C75"/>
    <w:rsid w:val="00A44F8C"/>
    <w:rsid w:val="00A45B0C"/>
    <w:rsid w:val="00A534CD"/>
    <w:rsid w:val="00A53724"/>
    <w:rsid w:val="00A6222B"/>
    <w:rsid w:val="00A62A42"/>
    <w:rsid w:val="00A71D9E"/>
    <w:rsid w:val="00A7338B"/>
    <w:rsid w:val="00A76FB3"/>
    <w:rsid w:val="00A82346"/>
    <w:rsid w:val="00A9671C"/>
    <w:rsid w:val="00AA1553"/>
    <w:rsid w:val="00AB66AE"/>
    <w:rsid w:val="00AC3ABA"/>
    <w:rsid w:val="00AD19B1"/>
    <w:rsid w:val="00AD4C65"/>
    <w:rsid w:val="00AE1D77"/>
    <w:rsid w:val="00AF1BD6"/>
    <w:rsid w:val="00B01C05"/>
    <w:rsid w:val="00B03BE9"/>
    <w:rsid w:val="00B04200"/>
    <w:rsid w:val="00B05380"/>
    <w:rsid w:val="00B05962"/>
    <w:rsid w:val="00B11E65"/>
    <w:rsid w:val="00B15449"/>
    <w:rsid w:val="00B2098B"/>
    <w:rsid w:val="00B2190B"/>
    <w:rsid w:val="00B27303"/>
    <w:rsid w:val="00B305D5"/>
    <w:rsid w:val="00B345CA"/>
    <w:rsid w:val="00B41E09"/>
    <w:rsid w:val="00B451EA"/>
    <w:rsid w:val="00B47FD1"/>
    <w:rsid w:val="00B516BB"/>
    <w:rsid w:val="00B518F2"/>
    <w:rsid w:val="00B52328"/>
    <w:rsid w:val="00B618C6"/>
    <w:rsid w:val="00B84DB2"/>
    <w:rsid w:val="00B86C77"/>
    <w:rsid w:val="00BA2D46"/>
    <w:rsid w:val="00BA4224"/>
    <w:rsid w:val="00BA71DD"/>
    <w:rsid w:val="00BB250B"/>
    <w:rsid w:val="00BB67B2"/>
    <w:rsid w:val="00BC3555"/>
    <w:rsid w:val="00BD6822"/>
    <w:rsid w:val="00BD769F"/>
    <w:rsid w:val="00BE522F"/>
    <w:rsid w:val="00BE5FE3"/>
    <w:rsid w:val="00BF45F7"/>
    <w:rsid w:val="00C0105E"/>
    <w:rsid w:val="00C03017"/>
    <w:rsid w:val="00C113C7"/>
    <w:rsid w:val="00C12B51"/>
    <w:rsid w:val="00C14DB0"/>
    <w:rsid w:val="00C2037D"/>
    <w:rsid w:val="00C24650"/>
    <w:rsid w:val="00C25465"/>
    <w:rsid w:val="00C33034"/>
    <w:rsid w:val="00C33079"/>
    <w:rsid w:val="00C33657"/>
    <w:rsid w:val="00C4068D"/>
    <w:rsid w:val="00C44959"/>
    <w:rsid w:val="00C550EB"/>
    <w:rsid w:val="00C55569"/>
    <w:rsid w:val="00C60807"/>
    <w:rsid w:val="00C7275F"/>
    <w:rsid w:val="00C748BE"/>
    <w:rsid w:val="00C8020A"/>
    <w:rsid w:val="00C80397"/>
    <w:rsid w:val="00C8078B"/>
    <w:rsid w:val="00C80C46"/>
    <w:rsid w:val="00C82B8A"/>
    <w:rsid w:val="00C83A13"/>
    <w:rsid w:val="00C9068C"/>
    <w:rsid w:val="00C92967"/>
    <w:rsid w:val="00C930AD"/>
    <w:rsid w:val="00C9758E"/>
    <w:rsid w:val="00CA1A56"/>
    <w:rsid w:val="00CA3D0C"/>
    <w:rsid w:val="00CA42F5"/>
    <w:rsid w:val="00CA50C0"/>
    <w:rsid w:val="00CA654B"/>
    <w:rsid w:val="00CA6D56"/>
    <w:rsid w:val="00CA793A"/>
    <w:rsid w:val="00CB6EDA"/>
    <w:rsid w:val="00CB72B8"/>
    <w:rsid w:val="00CC44F4"/>
    <w:rsid w:val="00CD4116"/>
    <w:rsid w:val="00CD4C7B"/>
    <w:rsid w:val="00CE5696"/>
    <w:rsid w:val="00CF5C46"/>
    <w:rsid w:val="00D00D95"/>
    <w:rsid w:val="00D05738"/>
    <w:rsid w:val="00D1051F"/>
    <w:rsid w:val="00D12C8C"/>
    <w:rsid w:val="00D33BE3"/>
    <w:rsid w:val="00D3792D"/>
    <w:rsid w:val="00D46BB4"/>
    <w:rsid w:val="00D55E47"/>
    <w:rsid w:val="00D62E19"/>
    <w:rsid w:val="00D6554F"/>
    <w:rsid w:val="00D67CD1"/>
    <w:rsid w:val="00D738D6"/>
    <w:rsid w:val="00D80795"/>
    <w:rsid w:val="00D854BE"/>
    <w:rsid w:val="00D87E00"/>
    <w:rsid w:val="00D9134D"/>
    <w:rsid w:val="00D96D11"/>
    <w:rsid w:val="00DA1A8E"/>
    <w:rsid w:val="00DA7A03"/>
    <w:rsid w:val="00DB0DB8"/>
    <w:rsid w:val="00DB1818"/>
    <w:rsid w:val="00DB276A"/>
    <w:rsid w:val="00DC2DA0"/>
    <w:rsid w:val="00DC309B"/>
    <w:rsid w:val="00DC4DA2"/>
    <w:rsid w:val="00DE2273"/>
    <w:rsid w:val="00DE2AF5"/>
    <w:rsid w:val="00DE3EC0"/>
    <w:rsid w:val="00DE49EC"/>
    <w:rsid w:val="00DF1038"/>
    <w:rsid w:val="00E01485"/>
    <w:rsid w:val="00E07371"/>
    <w:rsid w:val="00E25789"/>
    <w:rsid w:val="00E26408"/>
    <w:rsid w:val="00E4531A"/>
    <w:rsid w:val="00E4595E"/>
    <w:rsid w:val="00E46C08"/>
    <w:rsid w:val="00E471CF"/>
    <w:rsid w:val="00E47CA3"/>
    <w:rsid w:val="00E51345"/>
    <w:rsid w:val="00E62835"/>
    <w:rsid w:val="00E62E6F"/>
    <w:rsid w:val="00E71249"/>
    <w:rsid w:val="00E75926"/>
    <w:rsid w:val="00E75F55"/>
    <w:rsid w:val="00E77247"/>
    <w:rsid w:val="00E77645"/>
    <w:rsid w:val="00E8248E"/>
    <w:rsid w:val="00E83697"/>
    <w:rsid w:val="00E83E8B"/>
    <w:rsid w:val="00E85C17"/>
    <w:rsid w:val="00E87CED"/>
    <w:rsid w:val="00E943C4"/>
    <w:rsid w:val="00E95E1E"/>
    <w:rsid w:val="00EA387B"/>
    <w:rsid w:val="00EB1708"/>
    <w:rsid w:val="00EB3D0E"/>
    <w:rsid w:val="00EC4A25"/>
    <w:rsid w:val="00ED2D8F"/>
    <w:rsid w:val="00ED34B1"/>
    <w:rsid w:val="00EE0634"/>
    <w:rsid w:val="00EE309B"/>
    <w:rsid w:val="00EF08BF"/>
    <w:rsid w:val="00EF0AA4"/>
    <w:rsid w:val="00EF3E94"/>
    <w:rsid w:val="00F01FD9"/>
    <w:rsid w:val="00F025A2"/>
    <w:rsid w:val="00F07388"/>
    <w:rsid w:val="00F17544"/>
    <w:rsid w:val="00F2026E"/>
    <w:rsid w:val="00F21960"/>
    <w:rsid w:val="00F2210A"/>
    <w:rsid w:val="00F224AD"/>
    <w:rsid w:val="00F238C1"/>
    <w:rsid w:val="00F24A15"/>
    <w:rsid w:val="00F2583C"/>
    <w:rsid w:val="00F27B6A"/>
    <w:rsid w:val="00F3646D"/>
    <w:rsid w:val="00F3742F"/>
    <w:rsid w:val="00F37743"/>
    <w:rsid w:val="00F468C1"/>
    <w:rsid w:val="00F54A3D"/>
    <w:rsid w:val="00F54CB0"/>
    <w:rsid w:val="00F64281"/>
    <w:rsid w:val="00F64D83"/>
    <w:rsid w:val="00F653B8"/>
    <w:rsid w:val="00F67B95"/>
    <w:rsid w:val="00F71B89"/>
    <w:rsid w:val="00F7353C"/>
    <w:rsid w:val="00F76F8F"/>
    <w:rsid w:val="00F85E8B"/>
    <w:rsid w:val="00F868A4"/>
    <w:rsid w:val="00F87923"/>
    <w:rsid w:val="00F87CF9"/>
    <w:rsid w:val="00F92D67"/>
    <w:rsid w:val="00F941DF"/>
    <w:rsid w:val="00F96404"/>
    <w:rsid w:val="00F964CB"/>
    <w:rsid w:val="00FA1266"/>
    <w:rsid w:val="00FB36FA"/>
    <w:rsid w:val="00FC1192"/>
    <w:rsid w:val="00FC6CB3"/>
    <w:rsid w:val="00FD3180"/>
    <w:rsid w:val="00FD7404"/>
    <w:rsid w:val="00FD7E84"/>
    <w:rsid w:val="00FE251B"/>
    <w:rsid w:val="00FE2B08"/>
    <w:rsid w:val="00FE74F7"/>
    <w:rsid w:val="25B501C1"/>
    <w:rsid w:val="2B3FB30E"/>
    <w:rsid w:val="69D9B68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table" w:styleId="TableGrid">
    <w:name w:val="Table Grid"/>
    <w:basedOn w:val="TableNormal"/>
    <w:rsid w:val="00C203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1D0089"/>
    <w:rPr>
      <w:rFonts w:ascii="Arial" w:hAnsi="Arial"/>
      <w:b/>
      <w:lang w:eastAsia="en-US"/>
    </w:rPr>
  </w:style>
  <w:style w:type="character" w:styleId="CommentReference">
    <w:name w:val="annotation reference"/>
    <w:basedOn w:val="DefaultParagraphFont"/>
    <w:rsid w:val="00E75926"/>
    <w:rPr>
      <w:sz w:val="16"/>
      <w:szCs w:val="16"/>
    </w:rPr>
  </w:style>
  <w:style w:type="paragraph" w:styleId="CommentText">
    <w:name w:val="annotation text"/>
    <w:basedOn w:val="Normal"/>
    <w:link w:val="CommentTextChar"/>
    <w:rsid w:val="00E75926"/>
  </w:style>
  <w:style w:type="character" w:customStyle="1" w:styleId="CommentTextChar">
    <w:name w:val="Comment Text Char"/>
    <w:basedOn w:val="DefaultParagraphFont"/>
    <w:link w:val="CommentText"/>
    <w:rsid w:val="00E75926"/>
    <w:rPr>
      <w:lang w:eastAsia="en-US"/>
    </w:rPr>
  </w:style>
  <w:style w:type="paragraph" w:styleId="CommentSubject">
    <w:name w:val="annotation subject"/>
    <w:basedOn w:val="CommentText"/>
    <w:next w:val="CommentText"/>
    <w:link w:val="CommentSubjectChar"/>
    <w:rsid w:val="00E75926"/>
    <w:rPr>
      <w:b/>
      <w:bCs/>
    </w:rPr>
  </w:style>
  <w:style w:type="character" w:customStyle="1" w:styleId="CommentSubjectChar">
    <w:name w:val="Comment Subject Char"/>
    <w:basedOn w:val="CommentTextChar"/>
    <w:link w:val="CommentSubject"/>
    <w:rsid w:val="00E75926"/>
    <w:rPr>
      <w:b/>
      <w:bCs/>
      <w:lang w:eastAsia="en-US"/>
    </w:rPr>
  </w:style>
  <w:style w:type="paragraph" w:styleId="ListParagraph">
    <w:name w:val="List Paragraph"/>
    <w:aliases w:val="Lista1,- Bullets,목록 단락,?? ??,?????,????,列出段落,リスト段落,1st level - Bullet List Paragraph,List Paragraph1,Lettre d'introduction,Paragrafo elenco,Normal bullet 2,Bullet list,Numbered List,Task Body,Viñetas (Inicio Parrafo),3 Txt tabla"/>
    <w:basedOn w:val="Normal"/>
    <w:link w:val="ListParagraphChar"/>
    <w:uiPriority w:val="34"/>
    <w:qFormat/>
    <w:rsid w:val="000B0A78"/>
    <w:pPr>
      <w:ind w:left="720"/>
      <w:contextualSpacing/>
    </w:pPr>
  </w:style>
  <w:style w:type="paragraph" w:customStyle="1" w:styleId="Agreement">
    <w:name w:val="Agreement"/>
    <w:basedOn w:val="Normal"/>
    <w:next w:val="Normal"/>
    <w:rsid w:val="007F6A3A"/>
    <w:pPr>
      <w:numPr>
        <w:numId w:val="9"/>
      </w:numPr>
      <w:spacing w:before="60" w:after="0"/>
    </w:pPr>
    <w:rPr>
      <w:rFonts w:ascii="Arial" w:eastAsia="MS Mincho" w:hAnsi="Arial"/>
      <w:b/>
      <w:szCs w:val="24"/>
      <w:lang w:eastAsia="en-GB"/>
    </w:rPr>
  </w:style>
  <w:style w:type="character" w:customStyle="1" w:styleId="B1Zchn">
    <w:name w:val="B1 Zchn"/>
    <w:link w:val="B1"/>
    <w:rsid w:val="00071CFD"/>
    <w:rPr>
      <w:lang w:eastAsia="en-US"/>
    </w:rPr>
  </w:style>
  <w:style w:type="character" w:styleId="Strong">
    <w:name w:val="Strong"/>
    <w:uiPriority w:val="22"/>
    <w:qFormat/>
    <w:rsid w:val="00071CFD"/>
    <w:rPr>
      <w:b/>
      <w:bCs/>
    </w:rPr>
  </w:style>
  <w:style w:type="character" w:customStyle="1" w:styleId="ListParagraphChar">
    <w:name w:val="List Paragraph Char"/>
    <w:aliases w:val="Lista1 Char,- Bullets Char,목록 단락 Char,?? ?? Char,????? Char,???? Char,列出段落 Char,リスト段落 Char,1st level - Bullet List Paragraph Char,List Paragraph1 Char,Lettre d'introduction Char,Paragrafo elenco Char,Normal bullet 2 Char"/>
    <w:link w:val="ListParagraph"/>
    <w:uiPriority w:val="34"/>
    <w:qFormat/>
    <w:locked/>
    <w:rsid w:val="0028779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914542">
      <w:bodyDiv w:val="1"/>
      <w:marLeft w:val="0"/>
      <w:marRight w:val="0"/>
      <w:marTop w:val="0"/>
      <w:marBottom w:val="0"/>
      <w:divBdr>
        <w:top w:val="none" w:sz="0" w:space="0" w:color="auto"/>
        <w:left w:val="none" w:sz="0" w:space="0" w:color="auto"/>
        <w:bottom w:val="none" w:sz="0" w:space="0" w:color="auto"/>
        <w:right w:val="none" w:sz="0" w:space="0" w:color="auto"/>
      </w:divBdr>
      <w:divsChild>
        <w:div w:id="322587647">
          <w:marLeft w:val="0"/>
          <w:marRight w:val="0"/>
          <w:marTop w:val="0"/>
          <w:marBottom w:val="0"/>
          <w:divBdr>
            <w:top w:val="none" w:sz="0" w:space="0" w:color="auto"/>
            <w:left w:val="none" w:sz="0" w:space="0" w:color="auto"/>
            <w:bottom w:val="none" w:sz="0" w:space="0" w:color="auto"/>
            <w:right w:val="none" w:sz="0" w:space="0" w:color="auto"/>
          </w:divBdr>
          <w:divsChild>
            <w:div w:id="170797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75151606">
      <w:bodyDiv w:val="1"/>
      <w:marLeft w:val="0"/>
      <w:marRight w:val="0"/>
      <w:marTop w:val="0"/>
      <w:marBottom w:val="0"/>
      <w:divBdr>
        <w:top w:val="none" w:sz="0" w:space="0" w:color="auto"/>
        <w:left w:val="none" w:sz="0" w:space="0" w:color="auto"/>
        <w:bottom w:val="none" w:sz="0" w:space="0" w:color="auto"/>
        <w:right w:val="none" w:sz="0" w:space="0" w:color="auto"/>
      </w:divBdr>
      <w:divsChild>
        <w:div w:id="1009135511">
          <w:marLeft w:val="0"/>
          <w:marRight w:val="0"/>
          <w:marTop w:val="0"/>
          <w:marBottom w:val="0"/>
          <w:divBdr>
            <w:top w:val="none" w:sz="0" w:space="0" w:color="auto"/>
            <w:left w:val="none" w:sz="0" w:space="0" w:color="auto"/>
            <w:bottom w:val="none" w:sz="0" w:space="0" w:color="auto"/>
            <w:right w:val="none" w:sz="0" w:space="0" w:color="auto"/>
          </w:divBdr>
          <w:divsChild>
            <w:div w:id="452870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85839">
      <w:bodyDiv w:val="1"/>
      <w:marLeft w:val="0"/>
      <w:marRight w:val="0"/>
      <w:marTop w:val="0"/>
      <w:marBottom w:val="0"/>
      <w:divBdr>
        <w:top w:val="none" w:sz="0" w:space="0" w:color="auto"/>
        <w:left w:val="none" w:sz="0" w:space="0" w:color="auto"/>
        <w:bottom w:val="none" w:sz="0" w:space="0" w:color="auto"/>
        <w:right w:val="none" w:sz="0" w:space="0" w:color="auto"/>
      </w:divBdr>
      <w:divsChild>
        <w:div w:id="1330791882">
          <w:marLeft w:val="0"/>
          <w:marRight w:val="0"/>
          <w:marTop w:val="0"/>
          <w:marBottom w:val="0"/>
          <w:divBdr>
            <w:top w:val="none" w:sz="0" w:space="0" w:color="auto"/>
            <w:left w:val="none" w:sz="0" w:space="0" w:color="auto"/>
            <w:bottom w:val="none" w:sz="0" w:space="0" w:color="auto"/>
            <w:right w:val="none" w:sz="0" w:space="0" w:color="auto"/>
          </w:divBdr>
          <w:divsChild>
            <w:div w:id="595330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606214-EB8D-4B45-9581-3A6EEF849C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1555</Words>
  <Characters>8868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2019-08-15T17:03:00Z</dcterms:created>
  <dcterms:modified xsi:type="dcterms:W3CDTF">2019-08-17T02:17:00Z</dcterms:modified>
</cp:coreProperties>
</file>